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E7E" w:rsidRPr="00FC3E7E" w:rsidRDefault="00FC3E7E" w:rsidP="00FC3E7E">
      <w:pPr>
        <w:widowControl/>
        <w:shd w:val="clear" w:color="auto" w:fill="FFFFFF"/>
        <w:spacing w:line="360" w:lineRule="auto"/>
        <w:jc w:val="center"/>
        <w:outlineLvl w:val="0"/>
        <w:rPr>
          <w:rFonts w:ascii="黑体" w:eastAsia="黑体" w:hAnsi="黑体" w:cs="宋体"/>
          <w:b/>
          <w:bCs/>
          <w:kern w:val="36"/>
          <w:sz w:val="28"/>
          <w:szCs w:val="28"/>
        </w:rPr>
      </w:pPr>
      <w:bookmarkStart w:id="0" w:name="_GoBack"/>
      <w:r>
        <w:rPr>
          <w:rFonts w:ascii="黑体" w:eastAsia="黑体" w:hAnsi="黑体" w:cs="宋体" w:hint="eastAsia"/>
          <w:b/>
          <w:bCs/>
          <w:kern w:val="36"/>
          <w:sz w:val="28"/>
          <w:szCs w:val="28"/>
        </w:rPr>
        <w:t>优利德</w:t>
      </w:r>
      <w:r w:rsidRPr="00FC3E7E">
        <w:rPr>
          <w:rFonts w:ascii="黑体" w:eastAsia="黑体" w:hAnsi="黑体" w:cs="宋体" w:hint="eastAsia"/>
          <w:b/>
          <w:bCs/>
          <w:kern w:val="36"/>
          <w:sz w:val="28"/>
          <w:szCs w:val="28"/>
        </w:rPr>
        <w:t>新一代示波器产品将采用自</w:t>
      </w:r>
      <w:proofErr w:type="gramStart"/>
      <w:r w:rsidRPr="00FC3E7E">
        <w:rPr>
          <w:rFonts w:ascii="黑体" w:eastAsia="黑体" w:hAnsi="黑体" w:cs="宋体" w:hint="eastAsia"/>
          <w:b/>
          <w:bCs/>
          <w:kern w:val="36"/>
          <w:sz w:val="28"/>
          <w:szCs w:val="28"/>
        </w:rPr>
        <w:t>研</w:t>
      </w:r>
      <w:proofErr w:type="gramEnd"/>
      <w:r w:rsidRPr="00FC3E7E">
        <w:rPr>
          <w:rFonts w:ascii="黑体" w:eastAsia="黑体" w:hAnsi="黑体" w:cs="宋体" w:hint="eastAsia"/>
          <w:b/>
          <w:bCs/>
          <w:kern w:val="36"/>
          <w:sz w:val="28"/>
          <w:szCs w:val="28"/>
        </w:rPr>
        <w:t>芯片，后续推出更高端仪器</w:t>
      </w:r>
    </w:p>
    <w:bookmarkEnd w:id="0"/>
    <w:p w:rsidR="00FC3E7E" w:rsidRPr="00FC3E7E" w:rsidRDefault="00FC3E7E" w:rsidP="00FC3E7E">
      <w:pPr>
        <w:widowControl/>
        <w:shd w:val="clear" w:color="auto" w:fill="FFFFFF"/>
        <w:spacing w:line="360" w:lineRule="auto"/>
        <w:jc w:val="center"/>
        <w:rPr>
          <w:rFonts w:asciiTheme="minorEastAsia" w:hAnsiTheme="minorEastAsia" w:cs="宋体"/>
          <w:kern w:val="0"/>
          <w:sz w:val="24"/>
          <w:szCs w:val="24"/>
        </w:rPr>
      </w:pPr>
      <w:r w:rsidRPr="00FC3E7E">
        <w:rPr>
          <w:rFonts w:asciiTheme="minorEastAsia" w:hAnsiTheme="minorEastAsia" w:cs="宋体"/>
          <w:kern w:val="0"/>
          <w:sz w:val="24"/>
          <w:szCs w:val="24"/>
        </w:rPr>
        <w:t>来源：</w:t>
      </w:r>
      <w:proofErr w:type="gramStart"/>
      <w:r w:rsidRPr="00FC3E7E">
        <w:rPr>
          <w:rFonts w:asciiTheme="minorEastAsia" w:hAnsiTheme="minorEastAsia" w:cs="宋体"/>
          <w:kern w:val="0"/>
          <w:sz w:val="24"/>
          <w:szCs w:val="24"/>
        </w:rPr>
        <w:t>仪商网</w:t>
      </w:r>
      <w:proofErr w:type="gramEnd"/>
      <w:r w:rsidRPr="00FC3E7E">
        <w:rPr>
          <w:rFonts w:asciiTheme="minorEastAsia" w:hAnsiTheme="minorEastAsia" w:cs="宋体"/>
          <w:kern w:val="0"/>
          <w:sz w:val="24"/>
          <w:szCs w:val="24"/>
        </w:rPr>
        <w:t>综合</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近日，优利德披露投资者关系活动记录表显示，公司研发的示波器专用芯片将陆续导入到公司生产的新一代示波器产品中使用，今年3月公司已经发布了十余款测试仪器新品，后续会推出更高端的仪器产品。公司在行业内发展多年，产品广泛覆盖各类下游行业，累计销售数千万台产品，大多数产业客户都用过优利德的产品，并具备完善的售后服务体系。目前公司的产能规划可以满足相关项目订单的需求，可为全球用户提供持续稳定的产品供应。公司坚持走高端化和专业化路线，产品结构实现持续优化，随着高端化和专业化的持续深化，预计今年毛利率可以保持提升趋势。</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以下是这次机构调研互动交流内容：</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1、公司研发的示波器专用芯片是自用还是出售？公司新品发布是如何规划的？</w:t>
      </w: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t>答：</w:t>
      </w:r>
      <w:r w:rsidRPr="00FC3E7E">
        <w:rPr>
          <w:rFonts w:asciiTheme="minorEastAsia" w:hAnsiTheme="minorEastAsia" w:cs="宋体"/>
          <w:kern w:val="0"/>
          <w:sz w:val="24"/>
          <w:szCs w:val="24"/>
        </w:rPr>
        <w:t>专用芯片将陆续导入到公司生产的新一代示波器产品中使用。</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今年 3 月公司已经发布了十余款测试仪器新品，包括示波器、频谱分析仪、信号源、电源等品类，产品矩阵得到全面增强，后续会推出更高端的仪器产品。</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2、跟同行业公司相比，公司有何优势？</w:t>
      </w: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t>答：</w:t>
      </w:r>
      <w:r w:rsidRPr="00FC3E7E">
        <w:rPr>
          <w:rFonts w:asciiTheme="minorEastAsia" w:hAnsiTheme="minorEastAsia" w:cs="宋体"/>
          <w:kern w:val="0"/>
          <w:sz w:val="24"/>
          <w:szCs w:val="24"/>
        </w:rPr>
        <w:t>公司在行业内发展多年，产品广泛覆盖各类下游行业，累计销售数千万台产品，大多数产业客户都用过优利德的产品，凭借之前产品奠定的良好基础为公司博得更多的合作机会。此外，公司产品矩阵丰富，可以为客户提供的整体解决方案，并具备完善的售后服务体系。与海外品牌相比，在产品性能同等的情况下，性价比、本地化服务等方面优势明显。</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3、公司的产能布局规划如何？</w:t>
      </w: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t>答：</w:t>
      </w:r>
      <w:r w:rsidRPr="00FC3E7E">
        <w:rPr>
          <w:rFonts w:asciiTheme="minorEastAsia" w:hAnsiTheme="minorEastAsia" w:cs="宋体"/>
          <w:kern w:val="0"/>
          <w:sz w:val="24"/>
          <w:szCs w:val="24"/>
        </w:rPr>
        <w:t xml:space="preserve">国内方面，公司在东莞及河源合计拥有约 10 </w:t>
      </w:r>
      <w:proofErr w:type="gramStart"/>
      <w:r w:rsidRPr="00FC3E7E">
        <w:rPr>
          <w:rFonts w:asciiTheme="minorEastAsia" w:hAnsiTheme="minorEastAsia" w:cs="宋体"/>
          <w:kern w:val="0"/>
          <w:sz w:val="24"/>
          <w:szCs w:val="24"/>
        </w:rPr>
        <w:t>万平方米</w:t>
      </w:r>
      <w:proofErr w:type="gramEnd"/>
      <w:r w:rsidRPr="00FC3E7E">
        <w:rPr>
          <w:rFonts w:asciiTheme="minorEastAsia" w:hAnsiTheme="minorEastAsia" w:cs="宋体"/>
          <w:kern w:val="0"/>
          <w:sz w:val="24"/>
          <w:szCs w:val="24"/>
        </w:rPr>
        <w:t>的生产基地，建立了先进、完备的产品生产和质量控制体系，合计设计年产能达到 1000 万台以上；国际方面，公司越南工厂计划于 2024 年第四季度投产。目前公司的产能规划可以满足相关项目订单的需求，可为全球用户提供持续稳定的产品供应。</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4、公司毛利率提升的原因和未来变化趋势？</w:t>
      </w: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lastRenderedPageBreak/>
        <w:t>答：</w:t>
      </w:r>
      <w:r w:rsidRPr="00FC3E7E">
        <w:rPr>
          <w:rFonts w:asciiTheme="minorEastAsia" w:hAnsiTheme="minorEastAsia" w:cs="宋体"/>
          <w:kern w:val="0"/>
          <w:sz w:val="24"/>
          <w:szCs w:val="24"/>
        </w:rPr>
        <w:t xml:space="preserve">公司坚持走高端化和专业化路线，不断加大相关新品的研发和销售力度，产品结构实现持续优化，2023 年以来已取得显著成效，各条产品线毛利率均取得明显提升，其中测试仪器产品线提升超过10 </w:t>
      </w:r>
      <w:proofErr w:type="gramStart"/>
      <w:r w:rsidRPr="00FC3E7E">
        <w:rPr>
          <w:rFonts w:asciiTheme="minorEastAsia" w:hAnsiTheme="minorEastAsia" w:cs="宋体"/>
          <w:kern w:val="0"/>
          <w:sz w:val="24"/>
          <w:szCs w:val="24"/>
        </w:rPr>
        <w:t>个</w:t>
      </w:r>
      <w:proofErr w:type="gramEnd"/>
      <w:r w:rsidRPr="00FC3E7E">
        <w:rPr>
          <w:rFonts w:asciiTheme="minorEastAsia" w:hAnsiTheme="minorEastAsia" w:cs="宋体"/>
          <w:kern w:val="0"/>
          <w:sz w:val="24"/>
          <w:szCs w:val="24"/>
        </w:rPr>
        <w:t>百分点。此外，部分产品的提价、汇率和原材料价格的波动也带来一定程度的正向作用。随着高端化和专业化的持续深化，预计今年毛利率可以保持提升趋势。</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5、公司 2023 年度分红什么时候实施？未来会维持同样比例吗？</w:t>
      </w: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t>答：</w:t>
      </w:r>
      <w:r w:rsidRPr="00FC3E7E">
        <w:rPr>
          <w:rFonts w:asciiTheme="minorEastAsia" w:hAnsiTheme="minorEastAsia" w:cs="宋体"/>
          <w:kern w:val="0"/>
          <w:sz w:val="24"/>
          <w:szCs w:val="24"/>
        </w:rPr>
        <w:t>公司将在 2023 年度股东大会审议通过后两个月内完成权益分派事项，具体时间请以公司相关公告为准。</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自上市以来，公司高度重视股东回报，一直保持较高水平的利润分配方案，2020 年度公司现金分红金额占当年归属于上市公司股东的净利润比例为 33.67%，2021 年度公司现金分红金额占当年归属于上市公司股东的净利润比例为 30.47%，2022 年度公司现金分红金额占当年归属于上市公司股东的净利润比例为 35.74%，连续三年都保持在 30%以上。2023 年度，公司向全体股东每 10 股派发现金红利 9.00 元（含税），扣除掉扣除回购专用证券账户中股份数后，合计拟派发现金红利占当年归属于上市公司股东的净利润比例约为61.65%。</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随着国九条的出台，公司会全力以赴做好经营，在综合考虑年度盈利状况、未来发展需求等因素的前提下，尽最大可能积极采取现金分红的方式，不断增强分红稳定性、持续性和</w:t>
      </w:r>
      <w:proofErr w:type="gramStart"/>
      <w:r w:rsidRPr="00FC3E7E">
        <w:rPr>
          <w:rFonts w:asciiTheme="minorEastAsia" w:hAnsiTheme="minorEastAsia" w:cs="宋体"/>
          <w:kern w:val="0"/>
          <w:sz w:val="24"/>
          <w:szCs w:val="24"/>
        </w:rPr>
        <w:t>可</w:t>
      </w:r>
      <w:proofErr w:type="gramEnd"/>
      <w:r w:rsidRPr="00FC3E7E">
        <w:rPr>
          <w:rFonts w:asciiTheme="minorEastAsia" w:hAnsiTheme="minorEastAsia" w:cs="宋体"/>
          <w:kern w:val="0"/>
          <w:sz w:val="24"/>
          <w:szCs w:val="24"/>
        </w:rPr>
        <w:t>预期性，积极回馈公司股东。</w:t>
      </w:r>
    </w:p>
    <w:p w:rsidR="00FC3E7E" w:rsidRPr="00FC3E7E" w:rsidRDefault="00FC3E7E" w:rsidP="00FC3E7E">
      <w:pPr>
        <w:widowControl/>
        <w:shd w:val="clear" w:color="auto" w:fill="FFFFFF"/>
        <w:spacing w:line="360" w:lineRule="auto"/>
        <w:ind w:firstLineChars="200" w:firstLine="480"/>
        <w:jc w:val="center"/>
        <w:rPr>
          <w:rFonts w:asciiTheme="minorEastAsia" w:hAnsiTheme="minorEastAsia" w:cs="宋体"/>
          <w:kern w:val="0"/>
          <w:sz w:val="24"/>
          <w:szCs w:val="24"/>
        </w:rPr>
      </w:pPr>
      <w:r w:rsidRPr="00FC3E7E">
        <w:rPr>
          <w:rFonts w:asciiTheme="minorEastAsia" w:hAnsiTheme="minorEastAsia" w:cs="宋体" w:hint="eastAsia"/>
          <w:noProof/>
          <w:kern w:val="0"/>
          <w:sz w:val="24"/>
          <w:szCs w:val="24"/>
        </w:rPr>
        <w:drawing>
          <wp:inline distT="0" distB="0" distL="0" distR="0" wp14:anchorId="6DA80377" wp14:editId="6199EAC8">
            <wp:extent cx="3526887" cy="2880086"/>
            <wp:effectExtent l="0" t="0" r="0" b="0"/>
            <wp:docPr id="2" name="图片 2" descr="https://www.861718.com/member/kindeditor/attached/image/20240627/20240627185439_98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40627/20240627185439_9870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7027" cy="2880200"/>
                    </a:xfrm>
                    <a:prstGeom prst="rect">
                      <a:avLst/>
                    </a:prstGeom>
                    <a:noFill/>
                    <a:ln>
                      <a:noFill/>
                    </a:ln>
                  </pic:spPr>
                </pic:pic>
              </a:graphicData>
            </a:graphic>
          </wp:inline>
        </w:drawing>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lastRenderedPageBreak/>
        <w:t>优利</w:t>
      </w:r>
      <w:proofErr w:type="gramStart"/>
      <w:r w:rsidRPr="00FC3E7E">
        <w:rPr>
          <w:rFonts w:asciiTheme="minorEastAsia" w:hAnsiTheme="minorEastAsia" w:cs="宋体"/>
          <w:b/>
          <w:bCs/>
          <w:kern w:val="0"/>
          <w:sz w:val="24"/>
          <w:szCs w:val="24"/>
        </w:rPr>
        <w:t>德部分</w:t>
      </w:r>
      <w:proofErr w:type="gramEnd"/>
      <w:r w:rsidRPr="00FC3E7E">
        <w:rPr>
          <w:rFonts w:asciiTheme="minorEastAsia" w:hAnsiTheme="minorEastAsia" w:cs="宋体"/>
          <w:b/>
          <w:bCs/>
          <w:kern w:val="0"/>
          <w:sz w:val="24"/>
          <w:szCs w:val="24"/>
        </w:rPr>
        <w:t>测试仪器产品推荐</w:t>
      </w:r>
    </w:p>
    <w:p w:rsidR="00FC3E7E" w:rsidRPr="00FC3E7E" w:rsidRDefault="00FC3E7E" w:rsidP="00FC3E7E">
      <w:pPr>
        <w:widowControl/>
        <w:shd w:val="clear" w:color="auto" w:fill="FFFFFF"/>
        <w:spacing w:line="360" w:lineRule="auto"/>
        <w:ind w:firstLineChars="200" w:firstLine="482"/>
        <w:jc w:val="left"/>
        <w:rPr>
          <w:rFonts w:asciiTheme="minorEastAsia" w:hAnsiTheme="minorEastAsia" w:cs="宋体"/>
          <w:kern w:val="0"/>
          <w:sz w:val="24"/>
          <w:szCs w:val="24"/>
        </w:rPr>
      </w:pPr>
      <w:r w:rsidRPr="00FC3E7E">
        <w:rPr>
          <w:rFonts w:asciiTheme="minorEastAsia" w:hAnsiTheme="minorEastAsia" w:cs="宋体"/>
          <w:b/>
          <w:bCs/>
          <w:kern w:val="0"/>
          <w:sz w:val="24"/>
          <w:szCs w:val="24"/>
        </w:rPr>
        <w:t>MSO7000X系列混合信号示波器</w:t>
      </w:r>
    </w:p>
    <w:p w:rsidR="00FC3E7E" w:rsidRPr="00FC3E7E" w:rsidRDefault="00FC3E7E" w:rsidP="00FC3E7E">
      <w:pPr>
        <w:widowControl/>
        <w:shd w:val="clear" w:color="auto" w:fill="FFFFFF"/>
        <w:spacing w:line="360" w:lineRule="auto"/>
        <w:ind w:firstLineChars="200" w:firstLine="480"/>
        <w:jc w:val="center"/>
        <w:rPr>
          <w:rFonts w:asciiTheme="minorEastAsia" w:hAnsiTheme="minorEastAsia" w:cs="宋体"/>
          <w:kern w:val="0"/>
          <w:sz w:val="24"/>
          <w:szCs w:val="24"/>
        </w:rPr>
      </w:pPr>
      <w:r w:rsidRPr="00FC3E7E">
        <w:rPr>
          <w:rFonts w:asciiTheme="minorEastAsia" w:hAnsiTheme="minorEastAsia" w:cs="宋体" w:hint="eastAsia"/>
          <w:noProof/>
          <w:kern w:val="0"/>
          <w:sz w:val="24"/>
          <w:szCs w:val="24"/>
        </w:rPr>
        <w:drawing>
          <wp:inline distT="0" distB="0" distL="0" distR="0" wp14:anchorId="68D0F2EA" wp14:editId="3303E94E">
            <wp:extent cx="3509763" cy="1982019"/>
            <wp:effectExtent l="0" t="0" r="0" b="0"/>
            <wp:docPr id="1" name="图片 1" descr="https://www.861718.com/member/kindeditor/attached/image/20240513/20240513174532_39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40513/20240513174532_3975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9781" cy="1982029"/>
                    </a:xfrm>
                    <a:prstGeom prst="rect">
                      <a:avLst/>
                    </a:prstGeom>
                    <a:noFill/>
                    <a:ln>
                      <a:noFill/>
                    </a:ln>
                  </pic:spPr>
                </pic:pic>
              </a:graphicData>
            </a:graphic>
          </wp:inline>
        </w:drawing>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MSO7000X系列混合信号示波器不仅仅是一台示波器，更是一台综合信号测试仪，集 7 大测量仪器的独立功能于一体，能轻松应对复杂的测试环境。</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 带宽2.5GHz 、2GHz、1GHz</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 最高实时采样率10GSa/s</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 最大存储深度1Gpts</w:t>
      </w:r>
    </w:p>
    <w:p w:rsidR="00FC3E7E" w:rsidRPr="00FC3E7E" w:rsidRDefault="00FC3E7E" w:rsidP="00FC3E7E">
      <w:pPr>
        <w:widowControl/>
        <w:shd w:val="clear" w:color="auto" w:fill="FFFFFF"/>
        <w:spacing w:line="360" w:lineRule="auto"/>
        <w:ind w:firstLineChars="200" w:firstLine="480"/>
        <w:jc w:val="left"/>
        <w:rPr>
          <w:rFonts w:asciiTheme="minorEastAsia" w:hAnsiTheme="minorEastAsia" w:cs="宋体"/>
          <w:kern w:val="0"/>
          <w:sz w:val="24"/>
          <w:szCs w:val="24"/>
        </w:rPr>
      </w:pPr>
      <w:r w:rsidRPr="00FC3E7E">
        <w:rPr>
          <w:rFonts w:asciiTheme="minorEastAsia" w:hAnsiTheme="minorEastAsia" w:cs="宋体"/>
          <w:kern w:val="0"/>
          <w:sz w:val="24"/>
          <w:szCs w:val="24"/>
        </w:rPr>
        <w:t xml:space="preserve">· 最高波形捕获率2,000,000 </w:t>
      </w:r>
      <w:proofErr w:type="spellStart"/>
      <w:r w:rsidRPr="00FC3E7E">
        <w:rPr>
          <w:rFonts w:asciiTheme="minorEastAsia" w:hAnsiTheme="minorEastAsia" w:cs="宋体"/>
          <w:kern w:val="0"/>
          <w:sz w:val="24"/>
          <w:szCs w:val="24"/>
        </w:rPr>
        <w:t>wfms</w:t>
      </w:r>
      <w:proofErr w:type="spellEnd"/>
      <w:r w:rsidRPr="00FC3E7E">
        <w:rPr>
          <w:rFonts w:asciiTheme="minorEastAsia" w:hAnsiTheme="minorEastAsia" w:cs="宋体"/>
          <w:kern w:val="0"/>
          <w:sz w:val="24"/>
          <w:szCs w:val="24"/>
        </w:rPr>
        <w:t>/s</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 支持MATLAB嵌入式编程</w:t>
      </w:r>
    </w:p>
    <w:p w:rsidR="00FC3E7E" w:rsidRPr="00FC3E7E" w:rsidRDefault="00FC3E7E" w:rsidP="00FC3E7E">
      <w:pPr>
        <w:pStyle w:val="a3"/>
        <w:shd w:val="clear" w:color="auto" w:fill="FFFFFF"/>
        <w:spacing w:before="0" w:beforeAutospacing="0" w:after="0" w:afterAutospacing="0" w:line="360" w:lineRule="auto"/>
        <w:ind w:firstLineChars="200" w:firstLine="482"/>
        <w:rPr>
          <w:rFonts w:asciiTheme="minorEastAsia" w:eastAsiaTheme="minorEastAsia" w:hAnsiTheme="minorEastAsia"/>
        </w:rPr>
      </w:pPr>
      <w:r w:rsidRPr="00FC3E7E">
        <w:rPr>
          <w:rStyle w:val="a4"/>
          <w:rFonts w:asciiTheme="minorEastAsia" w:eastAsiaTheme="minorEastAsia" w:hAnsiTheme="minorEastAsia"/>
        </w:rPr>
        <w:t>UTS5000A系列信号分析仪</w:t>
      </w:r>
    </w:p>
    <w:p w:rsidR="00FC3E7E" w:rsidRPr="00FC3E7E" w:rsidRDefault="00FC3E7E" w:rsidP="00FC3E7E">
      <w:pPr>
        <w:pStyle w:val="a3"/>
        <w:shd w:val="clear" w:color="auto" w:fill="FFFFFF"/>
        <w:spacing w:before="0" w:beforeAutospacing="0" w:after="0" w:afterAutospacing="0" w:line="360" w:lineRule="auto"/>
        <w:ind w:firstLineChars="200" w:firstLine="480"/>
        <w:jc w:val="center"/>
        <w:rPr>
          <w:rFonts w:asciiTheme="minorEastAsia" w:eastAsiaTheme="minorEastAsia" w:hAnsiTheme="minorEastAsia"/>
        </w:rPr>
      </w:pPr>
      <w:r w:rsidRPr="00FC3E7E">
        <w:rPr>
          <w:rFonts w:asciiTheme="minorEastAsia" w:eastAsiaTheme="minorEastAsia" w:hAnsiTheme="minorEastAsia" w:hint="eastAsia"/>
          <w:noProof/>
        </w:rPr>
        <w:drawing>
          <wp:inline distT="0" distB="0" distL="0" distR="0" wp14:anchorId="381A1733" wp14:editId="5BF8CC67">
            <wp:extent cx="3613796" cy="2040768"/>
            <wp:effectExtent l="0" t="0" r="5715" b="0"/>
            <wp:docPr id="3" name="图片 3" descr="https://www.861718.com/member/kindeditor/attached/image/20240513/20240513174504_43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member/kindeditor/attached/image/20240513/20240513174504_4302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3814" cy="2040778"/>
                    </a:xfrm>
                    <a:prstGeom prst="rect">
                      <a:avLst/>
                    </a:prstGeom>
                    <a:noFill/>
                    <a:ln>
                      <a:noFill/>
                    </a:ln>
                  </pic:spPr>
                </pic:pic>
              </a:graphicData>
            </a:graphic>
          </wp:inline>
        </w:drawing>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UTS5000A系列信号分析仪是一款功能强大的设备，它能够满足各种复杂信号分析任务的需求，为电子制造、无线通信、射频微波等领域的研究和测试提供强有力的支持。</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 测量范围9kHz~13.6GHz/26.5GHz</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 选择性 4.1 ：1</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lastRenderedPageBreak/>
        <w:t>· 频谱分析、矢量分析</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 高级测量、EMI</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 Windows+</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r w:rsidRPr="00FC3E7E">
        <w:rPr>
          <w:rFonts w:asciiTheme="minorEastAsia" w:eastAsiaTheme="minorEastAsia" w:hAnsiTheme="minorEastAsia"/>
        </w:rPr>
        <w:t>· 15.6' FHD高清屏+手势触控</w:t>
      </w: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p>
    <w:p w:rsidR="00FC3E7E" w:rsidRPr="00FC3E7E" w:rsidRDefault="00FC3E7E" w:rsidP="00FC3E7E">
      <w:pPr>
        <w:pStyle w:val="a3"/>
        <w:shd w:val="clear" w:color="auto" w:fill="FFFFFF"/>
        <w:spacing w:before="0" w:beforeAutospacing="0" w:after="0" w:afterAutospacing="0" w:line="360" w:lineRule="auto"/>
        <w:ind w:firstLineChars="200" w:firstLine="480"/>
        <w:rPr>
          <w:rFonts w:asciiTheme="minorEastAsia" w:eastAsiaTheme="minorEastAsia" w:hAnsiTheme="minorEastAsia"/>
        </w:rPr>
      </w:pPr>
    </w:p>
    <w:p w:rsidR="00392C54" w:rsidRPr="00FC3E7E" w:rsidRDefault="00392C54" w:rsidP="00FC3E7E">
      <w:pPr>
        <w:spacing w:line="360" w:lineRule="auto"/>
        <w:ind w:firstLineChars="200" w:firstLine="480"/>
        <w:rPr>
          <w:rFonts w:asciiTheme="minorEastAsia" w:hAnsiTheme="minorEastAsia"/>
          <w:sz w:val="24"/>
          <w:szCs w:val="24"/>
        </w:rPr>
      </w:pPr>
    </w:p>
    <w:sectPr w:rsidR="00392C54" w:rsidRPr="00FC3E7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9DF"/>
    <w:rsid w:val="00392C54"/>
    <w:rsid w:val="008849DF"/>
    <w:rsid w:val="00FC3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C3E7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C3E7E"/>
    <w:rPr>
      <w:rFonts w:ascii="宋体" w:eastAsia="宋体" w:hAnsi="宋体" w:cs="宋体"/>
      <w:b/>
      <w:bCs/>
      <w:kern w:val="36"/>
      <w:sz w:val="48"/>
      <w:szCs w:val="48"/>
    </w:rPr>
  </w:style>
  <w:style w:type="paragraph" w:styleId="a3">
    <w:name w:val="Normal (Web)"/>
    <w:basedOn w:val="a"/>
    <w:uiPriority w:val="99"/>
    <w:semiHidden/>
    <w:unhideWhenUsed/>
    <w:rsid w:val="00FC3E7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C3E7E"/>
    <w:rPr>
      <w:b/>
      <w:bCs/>
    </w:rPr>
  </w:style>
  <w:style w:type="paragraph" w:styleId="a5">
    <w:name w:val="Balloon Text"/>
    <w:basedOn w:val="a"/>
    <w:link w:val="Char"/>
    <w:uiPriority w:val="99"/>
    <w:semiHidden/>
    <w:unhideWhenUsed/>
    <w:rsid w:val="00FC3E7E"/>
    <w:rPr>
      <w:sz w:val="18"/>
      <w:szCs w:val="18"/>
    </w:rPr>
  </w:style>
  <w:style w:type="character" w:customStyle="1" w:styleId="Char">
    <w:name w:val="批注框文本 Char"/>
    <w:basedOn w:val="a0"/>
    <w:link w:val="a5"/>
    <w:uiPriority w:val="99"/>
    <w:semiHidden/>
    <w:rsid w:val="00FC3E7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C3E7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C3E7E"/>
    <w:rPr>
      <w:rFonts w:ascii="宋体" w:eastAsia="宋体" w:hAnsi="宋体" w:cs="宋体"/>
      <w:b/>
      <w:bCs/>
      <w:kern w:val="36"/>
      <w:sz w:val="48"/>
      <w:szCs w:val="48"/>
    </w:rPr>
  </w:style>
  <w:style w:type="paragraph" w:styleId="a3">
    <w:name w:val="Normal (Web)"/>
    <w:basedOn w:val="a"/>
    <w:uiPriority w:val="99"/>
    <w:semiHidden/>
    <w:unhideWhenUsed/>
    <w:rsid w:val="00FC3E7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C3E7E"/>
    <w:rPr>
      <w:b/>
      <w:bCs/>
    </w:rPr>
  </w:style>
  <w:style w:type="paragraph" w:styleId="a5">
    <w:name w:val="Balloon Text"/>
    <w:basedOn w:val="a"/>
    <w:link w:val="Char"/>
    <w:uiPriority w:val="99"/>
    <w:semiHidden/>
    <w:unhideWhenUsed/>
    <w:rsid w:val="00FC3E7E"/>
    <w:rPr>
      <w:sz w:val="18"/>
      <w:szCs w:val="18"/>
    </w:rPr>
  </w:style>
  <w:style w:type="character" w:customStyle="1" w:styleId="Char">
    <w:name w:val="批注框文本 Char"/>
    <w:basedOn w:val="a0"/>
    <w:link w:val="a5"/>
    <w:uiPriority w:val="99"/>
    <w:semiHidden/>
    <w:rsid w:val="00FC3E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9219">
      <w:bodyDiv w:val="1"/>
      <w:marLeft w:val="0"/>
      <w:marRight w:val="0"/>
      <w:marTop w:val="0"/>
      <w:marBottom w:val="0"/>
      <w:divBdr>
        <w:top w:val="none" w:sz="0" w:space="0" w:color="auto"/>
        <w:left w:val="none" w:sz="0" w:space="0" w:color="auto"/>
        <w:bottom w:val="none" w:sz="0" w:space="0" w:color="auto"/>
        <w:right w:val="none" w:sz="0" w:space="0" w:color="auto"/>
      </w:divBdr>
      <w:divsChild>
        <w:div w:id="1187326564">
          <w:marLeft w:val="0"/>
          <w:marRight w:val="0"/>
          <w:marTop w:val="165"/>
          <w:marBottom w:val="0"/>
          <w:divBdr>
            <w:top w:val="none" w:sz="0" w:space="0" w:color="auto"/>
            <w:left w:val="none" w:sz="0" w:space="0" w:color="auto"/>
            <w:bottom w:val="none" w:sz="0" w:space="0" w:color="auto"/>
            <w:right w:val="none" w:sz="0" w:space="0" w:color="auto"/>
          </w:divBdr>
        </w:div>
        <w:div w:id="113523400">
          <w:marLeft w:val="0"/>
          <w:marRight w:val="0"/>
          <w:marTop w:val="0"/>
          <w:marBottom w:val="0"/>
          <w:divBdr>
            <w:top w:val="none" w:sz="0" w:space="0" w:color="auto"/>
            <w:left w:val="none" w:sz="0" w:space="0" w:color="auto"/>
            <w:bottom w:val="none" w:sz="0" w:space="0" w:color="auto"/>
            <w:right w:val="none" w:sz="0" w:space="0" w:color="auto"/>
          </w:divBdr>
          <w:divsChild>
            <w:div w:id="1566183148">
              <w:marLeft w:val="0"/>
              <w:marRight w:val="0"/>
              <w:marTop w:val="0"/>
              <w:marBottom w:val="0"/>
              <w:divBdr>
                <w:top w:val="none" w:sz="0" w:space="0" w:color="auto"/>
                <w:left w:val="none" w:sz="0" w:space="0" w:color="auto"/>
                <w:bottom w:val="none" w:sz="0" w:space="0" w:color="auto"/>
                <w:right w:val="none" w:sz="0" w:space="0" w:color="auto"/>
              </w:divBdr>
              <w:divsChild>
                <w:div w:id="16633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28115">
          <w:marLeft w:val="0"/>
          <w:marRight w:val="0"/>
          <w:marTop w:val="0"/>
          <w:marBottom w:val="0"/>
          <w:divBdr>
            <w:top w:val="none" w:sz="0" w:space="0" w:color="auto"/>
            <w:left w:val="none" w:sz="0" w:space="0" w:color="auto"/>
            <w:bottom w:val="none" w:sz="0" w:space="0" w:color="auto"/>
            <w:right w:val="none" w:sz="0" w:space="0" w:color="auto"/>
          </w:divBdr>
          <w:divsChild>
            <w:div w:id="8724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8757">
      <w:bodyDiv w:val="1"/>
      <w:marLeft w:val="0"/>
      <w:marRight w:val="0"/>
      <w:marTop w:val="0"/>
      <w:marBottom w:val="0"/>
      <w:divBdr>
        <w:top w:val="none" w:sz="0" w:space="0" w:color="auto"/>
        <w:left w:val="none" w:sz="0" w:space="0" w:color="auto"/>
        <w:bottom w:val="none" w:sz="0" w:space="0" w:color="auto"/>
        <w:right w:val="none" w:sz="0" w:space="0" w:color="auto"/>
      </w:divBdr>
      <w:divsChild>
        <w:div w:id="524488927">
          <w:marLeft w:val="0"/>
          <w:marRight w:val="0"/>
          <w:marTop w:val="0"/>
          <w:marBottom w:val="0"/>
          <w:divBdr>
            <w:top w:val="none" w:sz="0" w:space="0" w:color="auto"/>
            <w:left w:val="none" w:sz="0" w:space="0" w:color="auto"/>
            <w:bottom w:val="none" w:sz="0" w:space="0" w:color="auto"/>
            <w:right w:val="none" w:sz="0" w:space="0" w:color="auto"/>
          </w:divBdr>
          <w:divsChild>
            <w:div w:id="20335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270</Words>
  <Characters>1544</Characters>
  <Application>Microsoft Office Word</Application>
  <DocSecurity>0</DocSecurity>
  <Lines>12</Lines>
  <Paragraphs>3</Paragraphs>
  <ScaleCrop>false</ScaleCrop>
  <Company>Organization</Company>
  <LinksUpToDate>false</LinksUpToDate>
  <CharactersWithSpaces>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2024-07-05T07:24:00Z</dcterms:created>
  <dcterms:modified xsi:type="dcterms:W3CDTF">2024-07-05T07:28:00Z</dcterms:modified>
</cp:coreProperties>
</file>