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sz w:val="24"/>
          <w:szCs w:val="24"/>
        </w:rPr>
      </w:pPr>
      <w:bookmarkStart w:id="0" w:name="_GoBack"/>
      <w:bookmarkEnd w:id="0"/>
      <w:r>
        <w:rPr>
          <w:b/>
          <w:bCs/>
          <w:sz w:val="24"/>
          <w:szCs w:val="24"/>
          <w:lang w:val="en-US"/>
        </w:rPr>
        <w:t>思仪低噪放，再添新成员——100kHz～67GHz超宽带低噪声放大器发布</w:t>
      </w:r>
    </w:p>
    <w:p>
      <w:pPr>
        <w:pStyle w:val="style0"/>
        <w:jc w:val="center"/>
        <w:rPr/>
      </w:pPr>
      <w:r>
        <w:rPr>
          <w:lang w:val="en-US"/>
        </w:rPr>
        <w:t xml:space="preserve">来源：电科思仪 </w:t>
      </w:r>
    </w:p>
    <w:p>
      <w:pPr>
        <w:pStyle w:val="style0"/>
        <w:ind w:firstLineChars="200"/>
        <w:rPr/>
      </w:pPr>
      <w:r>
        <w:rPr>
          <w:lang w:val="en-US"/>
        </w:rPr>
        <w:t>光通信系统中需要放大器模块驱动各种类型的光电调制器和激光器，随着通信速率从几十Gbps提升至上百Gbps，急需覆盖低频至V波段甚至更高频段超宽带放大器满足光器件、光模块以及组建光通信系统的测试或搭建需求。思仪科技推出80235系列超宽带低噪声放大器，频率范围覆盖100kHz～67GHz，可应用于PAM、光QAM等调制器和激光器中信号的驱动放大。</w:t>
      </w:r>
    </w:p>
    <w:p>
      <w:pPr>
        <w:pStyle w:val="style0"/>
        <w:ind w:firstLineChars="200"/>
        <w:rPr/>
      </w:pPr>
      <w:r>
        <w:rPr>
          <w:lang w:val="en-US"/>
        </w:rPr>
        <w:t>在超宽带雷达和天线测试领域，要求低噪声放大器提供合适增益和较低的噪声系数来保证系统灵敏度，80235系列超宽带低噪声放大器优良的噪声特性以及小型化设计特别适用于测试系统构建，满足100kHz～50GHz/67GHz超宽带雷达和天线测试场景使用，小信号特性和噪声系数典型测试曲线如下。</w:t>
      </w:r>
    </w:p>
    <w:p>
      <w:pPr>
        <w:pStyle w:val="style0"/>
        <w:ind w:firstLineChars="200"/>
        <w:rPr/>
      </w:pPr>
      <w:r>
        <w:rPr>
          <w:lang w:val="en-US"/>
        </w:rPr>
        <w:t>80235系列超宽带低噪声放大器基于自研超宽带低噪声放大器芯片设计，小型模块化结构，标准1.85mm射频接口，可+7V单电源工作，在超宽频带内实现了较低的噪声系数和良好频响，同时可提供增益可调（80235H）以及交叉点（Crossing）可调功能满足用户特定测试需求。</w:t>
      </w:r>
    </w:p>
    <w:p>
      <w:pPr>
        <w:pStyle w:val="style0"/>
        <w:ind w:firstLineChars="200"/>
        <w:rPr/>
      </w:pPr>
      <w:r>
        <w:t>80235系列低噪声放大器优良的超宽带、低噪声性能不仅可作为光电调制器驱动放大器使用，同时增益可调功能进一步拓展了产品应用范围；另可提供散热器选件满足高温环境下的测试需求。产品适用于光通信、5G/6G通信、卫星通信、雷达以及天线测试等领域高频、宽带和高速测试需求，详细性能指标见产品手册。</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553</Words>
  <Characters>635</Characters>
  <Application>WPS Office</Application>
  <Paragraphs>6</Paragraphs>
  <CharactersWithSpaces>636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2023-10-20T07:20:53Z</dcterms:created>
  <dc:creator>OPPO R11s</dc:creator>
  <lastModifiedBy>OPPO R11s</lastModifiedBy>
  <dcterms:modified xsi:type="dcterms:W3CDTF">2023-10-20T07:20:53Z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cc36a8337ed042049108d6d69a0ed725_21</vt:lpwstr>
  </property>
</Properties>
</file>