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北京累计培育国家级专精特新“小巨人”企业795家</w:t>
      </w:r>
    </w:p>
    <w:p>
      <w:pPr>
        <w:pStyle w:val="style0"/>
        <w:jc w:val="center"/>
        <w:rPr/>
      </w:pPr>
      <w:r>
        <w:t>来源：中国电子报、电子信息产业网</w:t>
      </w:r>
      <w:r>
        <w:rPr>
          <w:lang w:val="en-US"/>
        </w:rPr>
        <w:t xml:space="preserve">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徐恒</w:t>
      </w:r>
    </w:p>
    <w:p>
      <w:pPr>
        <w:pStyle w:val="style0"/>
        <w:ind w:firstLineChars="200"/>
        <w:rPr/>
      </w:pPr>
      <w:r>
        <w:t>12月8日，第八届“创客中国”北京市中小企业创新创业大赛暨“创客北京2023”创新创业大赛总结会举办。记者在会上了解到，自2019年开展培育工作以来，北京市累计培育认定专精特新企业6848家，国家级专精特新“小巨人”企业795家。专精特新企业中上市企业达150家，市值超万亿元。从区域维度看，超五成企业分布在海淀、朝阳和经开区。从行业维度看，超八成企业集聚在信息传输、软件和信息技术服务业，科技服务业以及制造业。</w:t>
      </w:r>
    </w:p>
    <w:p>
      <w:pPr>
        <w:pStyle w:val="style0"/>
        <w:ind w:firstLineChars="200"/>
        <w:rPr/>
      </w:pPr>
      <w:r>
        <w:t>整体来看，北京市专精特新企业发展呈现“四高三强”的发展特征：一是“高”精尖特征突出。约八成专精特新企业来自高精尖产业，国家级“小巨人”这一比例超九成，主要分布在新一代信息技术、软件和信息技术服务业、人工智能等产业。二是“高”成长性，盈利能力较好。三是“高”质量，成为上市主力军。四是“高”数字化转型水平。五是就业带动能力“强”。六是科技创新能力“强”。七是小微和民营属性较“强”。</w:t>
      </w:r>
    </w:p>
    <w:p>
      <w:pPr>
        <w:pStyle w:val="style0"/>
        <w:ind w:firstLineChars="200"/>
        <w:rPr/>
      </w:pPr>
      <w:r>
        <w:t>北京市经济和信息化局党组成员、副局长苏国斌表示，举办“创客北京”大赛是北京市帮助中小企业融通资源、创新发展的一项重要举措。下一步，北京市将继续加大人才、资金等资源配套力度，以赛为媒，促进产学研合作，推动大中小融通，持续提升服务能力，不断扩大品牌影响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550</Words>
  <Characters>567</Characters>
  <Application>WPS Office</Application>
  <Paragraphs>5</Paragraphs>
  <CharactersWithSpaces>570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2023-12-11T09:30:36Z</dcterms:created>
  <dc:creator>V2241HA</dc:creator>
  <lastModifiedBy>V2241HA</lastModifiedBy>
  <dcterms:modified xsi:type="dcterms:W3CDTF">2023-12-11T09:33:16Z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1436715617a4499dafc4a56a7a4b6d13_21</vt:lpwstr>
  </property>
</Properties>
</file>