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ind w:firstLine="442"/>
        <w:jc w:val="center"/>
        <w:rPr>
          <w:shd w:val="clear" w:color="auto" w:fill="FDFDFE"/>
        </w:rPr>
      </w:pPr>
      <w:r>
        <w:rPr>
          <w:rStyle w:val="5"/>
          <w:rFonts w:cs="Segoe UI" w:asciiTheme="minorEastAsia" w:hAnsiTheme="minorEastAsia"/>
          <w:bCs/>
          <w:color w:val="05073B"/>
          <w:sz w:val="22"/>
          <w:szCs w:val="22"/>
          <w:shd w:val="clear" w:color="auto" w:fill="FDFDFE"/>
        </w:rPr>
        <w:t>信而泰</w:t>
      </w:r>
      <w:r>
        <w:rPr>
          <w:rStyle w:val="5"/>
          <w:rFonts w:hint="eastAsia" w:cs="Segoe UI" w:asciiTheme="minorEastAsia" w:hAnsiTheme="minorEastAsia"/>
          <w:bCs/>
          <w:color w:val="05073B"/>
          <w:sz w:val="22"/>
          <w:szCs w:val="22"/>
          <w:shd w:val="clear" w:color="auto" w:fill="FDFDFE"/>
        </w:rPr>
        <w:t>TSN测试解决方案精彩</w:t>
      </w:r>
      <w:r>
        <w:rPr>
          <w:rStyle w:val="5"/>
          <w:rFonts w:cs="Segoe UI" w:asciiTheme="minorEastAsia" w:hAnsiTheme="minorEastAsia"/>
          <w:bCs/>
          <w:color w:val="05073B"/>
          <w:sz w:val="22"/>
          <w:szCs w:val="22"/>
          <w:shd w:val="clear" w:color="auto" w:fill="FDFDFE"/>
        </w:rPr>
        <w:t>亮相2024年TSN系统设计论坛</w:t>
      </w:r>
    </w:p>
    <w:p>
      <w:pPr>
        <w:pStyle w:val="2"/>
        <w:ind w:firstLine="480"/>
        <w:jc w:val="center"/>
        <w:rPr>
          <w:rFonts w:cs="Segoe UI"/>
          <w:color w:val="05073B"/>
          <w:sz w:val="22"/>
          <w:szCs w:val="22"/>
          <w:shd w:val="clear" w:color="auto" w:fill="FDFDFE"/>
        </w:rPr>
      </w:pPr>
      <w:r>
        <w:drawing>
          <wp:inline distT="0" distB="0" distL="114300" distR="114300">
            <wp:extent cx="3407410" cy="1595120"/>
            <wp:effectExtent l="0" t="0" r="2540" b="5080"/>
            <wp:docPr id="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6"/>
                    <pic:cNvPicPr>
                      <a:picLocks noChangeAspect="1"/>
                    </pic:cNvPicPr>
                  </pic:nvPicPr>
                  <pic:blipFill>
                    <a:blip r:embed="rId4"/>
                    <a:stretch>
                      <a:fillRect/>
                    </a:stretch>
                  </pic:blipFill>
                  <pic:spPr>
                    <a:xfrm>
                      <a:off x="0" y="0"/>
                      <a:ext cx="3407410" cy="1595120"/>
                    </a:xfrm>
                    <a:prstGeom prst="rect">
                      <a:avLst/>
                    </a:prstGeom>
                    <a:noFill/>
                    <a:ln w="9525">
                      <a:noFill/>
                    </a:ln>
                  </pic:spPr>
                </pic:pic>
              </a:graphicData>
            </a:graphic>
          </wp:inline>
        </w:drawing>
      </w:r>
    </w:p>
    <w:p>
      <w:pPr>
        <w:pStyle w:val="2"/>
        <w:ind w:firstLine="480"/>
        <w:rPr>
          <w:sz w:val="22"/>
          <w:szCs w:val="22"/>
          <w:shd w:val="clear" w:color="auto" w:fill="FDFDFE"/>
        </w:rPr>
      </w:pPr>
      <w:r>
        <w:rPr>
          <w:sz w:val="22"/>
          <w:szCs w:val="22"/>
          <w:shd w:val="clear" w:color="auto" w:fill="FDFDFE"/>
        </w:rPr>
        <w:t>2024年5月18日，一场汇聚了计算机领域精英的学术盛会——由中国计算机学会（CCF）主办，CCF抗恶劣环境计算机专委会承办，国防科技大学和中国船舶716所协办的2024年第一次“TSN系统设计论坛（枫林论坛）”在湖南省长沙市岳麓区美雅斯国际酒店隆重召开。北京信而泰</w:t>
      </w:r>
      <w:r>
        <w:rPr>
          <w:rFonts w:hint="eastAsia"/>
          <w:sz w:val="22"/>
          <w:szCs w:val="22"/>
          <w:shd w:val="clear" w:color="auto" w:fill="FDFDFE"/>
        </w:rPr>
        <w:t>科技股份有限公司（以下简称“信而泰”）</w:t>
      </w:r>
      <w:r>
        <w:rPr>
          <w:sz w:val="22"/>
          <w:szCs w:val="22"/>
          <w:shd w:val="clear" w:color="auto" w:fill="FDFDFE"/>
        </w:rPr>
        <w:t>作为行业内的知名企业，受邀参加此次论坛，并展示了其最新的行业测试产品和TSN解决方案。</w:t>
      </w:r>
    </w:p>
    <w:p>
      <w:pPr>
        <w:pStyle w:val="2"/>
        <w:ind w:firstLine="480"/>
        <w:jc w:val="center"/>
        <w:rPr>
          <w:rFonts w:cs="Segoe UI"/>
          <w:color w:val="05073B"/>
          <w:sz w:val="22"/>
          <w:szCs w:val="22"/>
          <w:shd w:val="clear" w:color="auto" w:fill="FDFDFE"/>
        </w:rPr>
      </w:pPr>
      <w:r>
        <w:drawing>
          <wp:inline distT="0" distB="0" distL="114300" distR="114300">
            <wp:extent cx="2496820" cy="1771015"/>
            <wp:effectExtent l="0" t="0" r="17780" b="635"/>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5"/>
                    <a:stretch>
                      <a:fillRect/>
                    </a:stretch>
                  </pic:blipFill>
                  <pic:spPr>
                    <a:xfrm>
                      <a:off x="0" y="0"/>
                      <a:ext cx="2496820" cy="1771015"/>
                    </a:xfrm>
                    <a:prstGeom prst="rect">
                      <a:avLst/>
                    </a:prstGeom>
                    <a:noFill/>
                    <a:ln w="9525">
                      <a:noFill/>
                    </a:ln>
                  </pic:spPr>
                </pic:pic>
              </a:graphicData>
            </a:graphic>
          </wp:inline>
        </w:drawing>
      </w:r>
    </w:p>
    <w:p>
      <w:pPr>
        <w:pStyle w:val="2"/>
        <w:spacing w:before="0" w:line="240" w:lineRule="auto"/>
        <w:ind w:firstLine="0" w:firstLineChars="0"/>
        <w:rPr>
          <w:rFonts w:ascii="Segoe UI" w:hAnsi="Segoe UI" w:eastAsia="Segoe UI" w:cs="Segoe UI"/>
          <w:i w:val="0"/>
          <w:iCs w:val="0"/>
          <w:caps w:val="0"/>
          <w:color w:val="0000FF"/>
          <w:spacing w:val="0"/>
          <w:sz w:val="22"/>
          <w:szCs w:val="22"/>
          <w:shd w:val="clear" w:fill="FDFDFE"/>
        </w:rPr>
      </w:pPr>
      <w:r>
        <w:rPr>
          <w:rFonts w:hint="eastAsia" w:eastAsia="宋体"/>
          <w:shd w:val="clear" w:color="auto" w:fill="FDFDFE"/>
          <w:lang w:val="en-US" w:eastAsia="zh-CN"/>
        </w:rPr>
        <w:t xml:space="preserve"> </w:t>
      </w:r>
      <w:r>
        <w:rPr>
          <w:rFonts w:hint="eastAsia" w:ascii="Segoe UI" w:hAnsi="Segoe UI" w:eastAsia="Segoe UI" w:cs="Segoe UI"/>
          <w:i w:val="0"/>
          <w:iCs w:val="0"/>
          <w:caps w:val="0"/>
          <w:color w:val="05073B"/>
          <w:spacing w:val="0"/>
          <w:sz w:val="22"/>
          <w:szCs w:val="22"/>
          <w:shd w:val="clear" w:fill="FDFDFE"/>
        </w:rPr>
        <w:t>信而泰作为业界优秀的测试解决方案提供商，紧跟TSN技术发展。在此次论坛上，信而泰展示了多款测试产品及解决方案，可以全面测试和评估TSN设备及芯片的功能、性能、稳定性和可靠性。技术总监李利平详细介绍了TSN/TTE专业测试方案，李利平指出：“为全面测试和评估TSN设备/系统，可运用信而泰多速率TSN测试板卡，覆盖10M至10G速率，对802.1AS、802.1Qbv等系列TSN协议进行一致性、功能和性能测试。同时，借助BigTao平台，可以进行RFC2889/2544标准、ACL、VLAN等功能与性能测试；PPS模块测试时间同步精度和时钟稳定性；DarPeng平台强化安全测试；Xcompass模拟网络质量损伤；X-Luanch监测网络质量等这些综合测试确保TSN设备/系统高效稳定运行。”</w:t>
      </w:r>
    </w:p>
    <w:p>
      <w:pPr>
        <w:pStyle w:val="2"/>
        <w:ind w:firstLine="480"/>
        <w:rPr>
          <w:shd w:val="clear" w:color="auto" w:fill="FDFDFE"/>
        </w:rPr>
      </w:pPr>
      <w:r>
        <w:rPr>
          <w:shd w:val="clear" w:color="auto" w:fill="FDFDFE"/>
        </w:rPr>
        <w:drawing>
          <wp:inline distT="0" distB="0" distL="0" distR="0">
            <wp:extent cx="5274310" cy="2873375"/>
            <wp:effectExtent l="0" t="0" r="2540" b="3175"/>
            <wp:docPr id="17882361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236135" name="图片 1"/>
                    <pic:cNvPicPr>
                      <a:picLocks noChangeAspect="1"/>
                    </pic:cNvPicPr>
                  </pic:nvPicPr>
                  <pic:blipFill>
                    <a:blip r:embed="rId6"/>
                    <a:stretch>
                      <a:fillRect/>
                    </a:stretch>
                  </pic:blipFill>
                  <pic:spPr>
                    <a:xfrm>
                      <a:off x="0" y="0"/>
                      <a:ext cx="5274310" cy="2873375"/>
                    </a:xfrm>
                    <a:prstGeom prst="rect">
                      <a:avLst/>
                    </a:prstGeom>
                  </pic:spPr>
                </pic:pic>
              </a:graphicData>
            </a:graphic>
          </wp:inline>
        </w:drawing>
      </w:r>
    </w:p>
    <w:p>
      <w:pPr>
        <w:pStyle w:val="2"/>
        <w:shd w:val="clear" w:color="auto" w:fill="FDFDFE"/>
        <w:ind w:firstLine="480"/>
        <w:rPr>
          <w:sz w:val="22"/>
          <w:szCs w:val="22"/>
          <w:shd w:val="clear" w:color="auto" w:fill="FDFDFE"/>
        </w:rPr>
      </w:pPr>
      <w:r>
        <w:rPr>
          <w:rFonts w:hint="eastAsia" w:ascii="Segoe UI" w:hAnsi="Segoe UI" w:eastAsia="宋体" w:cs="Segoe UI"/>
          <w:i w:val="0"/>
          <w:iCs w:val="0"/>
          <w:caps w:val="0"/>
          <w:color w:val="05073B"/>
          <w:spacing w:val="0"/>
          <w:sz w:val="22"/>
          <w:szCs w:val="22"/>
          <w:shd w:val="clear" w:fill="FDFDFE"/>
          <w:lang w:val="en-US" w:eastAsia="zh-CN"/>
        </w:rPr>
        <w:t> 另外，李利平表示TSN 作为确定性网络的一种技术，未来希望能跟内同行是针对5GDN/DetwiFi/DetNet 等其它确定性网络技术的评估和验证共同合作和探讨，推动各种确定性网技术在实际应用场景中成熟落地，推动行业生态健康发展。</w:t>
      </w:r>
    </w:p>
    <w:p>
      <w:pPr>
        <w:pStyle w:val="2"/>
        <w:ind w:firstLine="480"/>
        <w:rPr>
          <w:shd w:val="clear" w:color="auto" w:fill="FDFDFE"/>
        </w:rPr>
      </w:pPr>
      <w:r>
        <w:rPr>
          <w:shd w:val="clear" w:color="auto" w:fill="FDFDFE"/>
        </w:rPr>
        <w:drawing>
          <wp:inline distT="0" distB="0" distL="0" distR="0">
            <wp:extent cx="5274310" cy="2860040"/>
            <wp:effectExtent l="0" t="0" r="2540" b="16510"/>
            <wp:docPr id="3040626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062634" name="图片 1"/>
                    <pic:cNvPicPr>
                      <a:picLocks noChangeAspect="1"/>
                    </pic:cNvPicPr>
                  </pic:nvPicPr>
                  <pic:blipFill>
                    <a:blip r:embed="rId7"/>
                    <a:stretch>
                      <a:fillRect/>
                    </a:stretch>
                  </pic:blipFill>
                  <pic:spPr>
                    <a:xfrm>
                      <a:off x="0" y="0"/>
                      <a:ext cx="5274310" cy="2860040"/>
                    </a:xfrm>
                    <a:prstGeom prst="rect">
                      <a:avLst/>
                    </a:prstGeom>
                  </pic:spPr>
                </pic:pic>
              </a:graphicData>
            </a:graphic>
          </wp:inline>
        </w:drawing>
      </w:r>
    </w:p>
    <w:p>
      <w:pPr>
        <w:pStyle w:val="2"/>
        <w:ind w:firstLine="480"/>
        <w:rPr>
          <w:shd w:val="clear" w:color="auto" w:fill="FDFDFE"/>
        </w:rPr>
      </w:pPr>
      <w:r>
        <w:rPr>
          <w:shd w:val="clear" w:color="auto" w:fill="FDFDFE"/>
        </w:rPr>
        <w:t>在论坛的交流环节，北京信而泰的</w:t>
      </w:r>
      <w:r>
        <w:rPr>
          <w:rFonts w:hint="eastAsia"/>
          <w:shd w:val="clear" w:color="auto" w:fill="FDFDFE"/>
        </w:rPr>
        <w:t>工作人员和参会嘉宾</w:t>
      </w:r>
      <w:r>
        <w:rPr>
          <w:shd w:val="clear" w:color="auto" w:fill="FDFDFE"/>
        </w:rPr>
        <w:t>进行了深入的探讨，分享了TSN测试技术的最新进展和研究成果。他们不仅展示了信而泰在TSN测试领域的专业能力和实践经验，还就如何更好地将学术研究成果转化为实际应用提出了建设性的意见。</w:t>
      </w:r>
    </w:p>
    <w:p>
      <w:pPr>
        <w:pStyle w:val="2"/>
        <w:ind w:firstLine="480"/>
        <w:rPr>
          <w:rFonts w:hint="default" w:eastAsiaTheme="minorEastAsia"/>
          <w:shd w:val="clear" w:color="auto" w:fill="FDFDFE"/>
          <w:lang w:val="en-US" w:eastAsia="zh-CN"/>
        </w:rPr>
      </w:pPr>
      <w:r>
        <w:rPr>
          <w:shd w:val="clear" w:color="auto" w:fill="FDFDFE"/>
        </w:rPr>
        <w:drawing>
          <wp:inline distT="0" distB="0" distL="114300" distR="114300">
            <wp:extent cx="2005965" cy="1129030"/>
            <wp:effectExtent l="0" t="0" r="13335" b="13970"/>
            <wp:docPr id="3" name="图片 3" descr="4aa421b15a58652df148c6b9f6cd7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4aa421b15a58652df148c6b9f6cd7c7"/>
                    <pic:cNvPicPr>
                      <a:picLocks noChangeAspect="1"/>
                    </pic:cNvPicPr>
                  </pic:nvPicPr>
                  <pic:blipFill>
                    <a:blip r:embed="rId8"/>
                    <a:stretch>
                      <a:fillRect/>
                    </a:stretch>
                  </pic:blipFill>
                  <pic:spPr>
                    <a:xfrm>
                      <a:off x="0" y="0"/>
                      <a:ext cx="2005965" cy="1129030"/>
                    </a:xfrm>
                    <a:prstGeom prst="rect">
                      <a:avLst/>
                    </a:prstGeom>
                  </pic:spPr>
                </pic:pic>
              </a:graphicData>
            </a:graphic>
          </wp:inline>
        </w:drawing>
      </w:r>
      <w:r>
        <w:rPr>
          <w:rFonts w:hint="eastAsia"/>
          <w:shd w:val="clear" w:color="auto" w:fill="FDFDFE"/>
        </w:rPr>
        <w:t xml:space="preserve"> </w:t>
      </w:r>
      <w:r>
        <w:rPr>
          <w:rFonts w:hint="eastAsia"/>
          <w:shd w:val="clear" w:color="auto" w:fill="FDFDFE"/>
        </w:rPr>
        <w:drawing>
          <wp:inline distT="0" distB="0" distL="114300" distR="114300">
            <wp:extent cx="1506220" cy="1129665"/>
            <wp:effectExtent l="0" t="0" r="17780" b="13335"/>
            <wp:docPr id="5" name="图片 5" descr="705e7b34bf7da2bb3c1c66d09a370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705e7b34bf7da2bb3c1c66d09a370d5"/>
                    <pic:cNvPicPr>
                      <a:picLocks noChangeAspect="1"/>
                    </pic:cNvPicPr>
                  </pic:nvPicPr>
                  <pic:blipFill>
                    <a:blip r:embed="rId9"/>
                    <a:stretch>
                      <a:fillRect/>
                    </a:stretch>
                  </pic:blipFill>
                  <pic:spPr>
                    <a:xfrm>
                      <a:off x="0" y="0"/>
                      <a:ext cx="1506220" cy="1129665"/>
                    </a:xfrm>
                    <a:prstGeom prst="rect">
                      <a:avLst/>
                    </a:prstGeom>
                  </pic:spPr>
                </pic:pic>
              </a:graphicData>
            </a:graphic>
          </wp:inline>
        </w:drawing>
      </w:r>
      <w:r>
        <w:rPr>
          <w:rFonts w:hint="eastAsia"/>
          <w:shd w:val="clear" w:color="auto" w:fill="FDFDFE"/>
          <w:lang w:val="en-US" w:eastAsia="zh-CN"/>
        </w:rPr>
        <w:t xml:space="preserve">      </w:t>
      </w:r>
      <w:bookmarkStart w:id="0" w:name="_GoBack"/>
      <w:bookmarkEnd w:id="0"/>
      <w:r>
        <w:rPr>
          <w:shd w:val="clear" w:color="auto" w:fill="FDFDFE"/>
        </w:rPr>
        <w:drawing>
          <wp:inline distT="0" distB="0" distL="114300" distR="114300">
            <wp:extent cx="1473200" cy="1106170"/>
            <wp:effectExtent l="0" t="0" r="12700" b="17780"/>
            <wp:docPr id="6" name="图片 6" descr="ba3875132282732a7521d29a545b4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ba3875132282732a7521d29a545b41a"/>
                    <pic:cNvPicPr>
                      <a:picLocks noChangeAspect="1"/>
                    </pic:cNvPicPr>
                  </pic:nvPicPr>
                  <pic:blipFill>
                    <a:blip r:embed="rId10"/>
                    <a:stretch>
                      <a:fillRect/>
                    </a:stretch>
                  </pic:blipFill>
                  <pic:spPr>
                    <a:xfrm>
                      <a:off x="0" y="0"/>
                      <a:ext cx="1473200" cy="1106170"/>
                    </a:xfrm>
                    <a:prstGeom prst="rect">
                      <a:avLst/>
                    </a:prstGeom>
                  </pic:spPr>
                </pic:pic>
              </a:graphicData>
            </a:graphic>
          </wp:inline>
        </w:drawing>
      </w:r>
      <w:r>
        <w:rPr>
          <w:rFonts w:hint="eastAsia" w:eastAsiaTheme="minorEastAsia"/>
          <w:shd w:val="clear" w:color="auto" w:fill="FDFDFE"/>
          <w:lang w:eastAsia="zh-CN"/>
        </w:rPr>
        <w:drawing>
          <wp:inline distT="0" distB="0" distL="114300" distR="114300">
            <wp:extent cx="2027555" cy="1351915"/>
            <wp:effectExtent l="0" t="0" r="10795" b="635"/>
            <wp:docPr id="7" name="图片 7" descr="林_pr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林_proc"/>
                    <pic:cNvPicPr>
                      <a:picLocks noChangeAspect="1"/>
                    </pic:cNvPicPr>
                  </pic:nvPicPr>
                  <pic:blipFill>
                    <a:blip r:embed="rId11"/>
                    <a:stretch>
                      <a:fillRect/>
                    </a:stretch>
                  </pic:blipFill>
                  <pic:spPr>
                    <a:xfrm>
                      <a:off x="0" y="0"/>
                      <a:ext cx="2027555" cy="1351915"/>
                    </a:xfrm>
                    <a:prstGeom prst="rect">
                      <a:avLst/>
                    </a:prstGeom>
                  </pic:spPr>
                </pic:pic>
              </a:graphicData>
            </a:graphic>
          </wp:inline>
        </w:drawing>
      </w:r>
      <w:r>
        <w:rPr>
          <w:rFonts w:hint="eastAsia"/>
          <w:shd w:val="clear" w:color="auto" w:fill="FDFDFE"/>
          <w:lang w:val="en-US" w:eastAsia="zh-CN"/>
        </w:rPr>
        <w:t xml:space="preserve"> </w:t>
      </w:r>
      <w:r>
        <w:rPr>
          <w:rFonts w:hint="default" w:eastAsiaTheme="minorEastAsia"/>
          <w:shd w:val="clear" w:color="auto" w:fill="FDFDFE"/>
          <w:lang w:val="en-US" w:eastAsia="zh-CN"/>
        </w:rPr>
        <w:drawing>
          <wp:inline distT="0" distB="0" distL="114300" distR="114300">
            <wp:extent cx="1998980" cy="1124585"/>
            <wp:effectExtent l="0" t="0" r="1270" b="18415"/>
            <wp:docPr id="9" name="图片 9" descr="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枫"/>
                    <pic:cNvPicPr>
                      <a:picLocks noChangeAspect="1"/>
                    </pic:cNvPicPr>
                  </pic:nvPicPr>
                  <pic:blipFill>
                    <a:blip r:embed="rId12"/>
                    <a:stretch>
                      <a:fillRect/>
                    </a:stretch>
                  </pic:blipFill>
                  <pic:spPr>
                    <a:xfrm>
                      <a:off x="0" y="0"/>
                      <a:ext cx="1998980" cy="1124585"/>
                    </a:xfrm>
                    <a:prstGeom prst="rect">
                      <a:avLst/>
                    </a:prstGeom>
                  </pic:spPr>
                </pic:pic>
              </a:graphicData>
            </a:graphic>
          </wp:inline>
        </w:drawing>
      </w:r>
      <w:r>
        <w:rPr>
          <w:rFonts w:hint="eastAsia"/>
          <w:shd w:val="clear" w:color="auto" w:fill="FDFDFE"/>
        </w:rPr>
        <w:drawing>
          <wp:inline distT="0" distB="0" distL="114300" distR="114300">
            <wp:extent cx="2040890" cy="1530985"/>
            <wp:effectExtent l="0" t="0" r="16510" b="12065"/>
            <wp:docPr id="4" name="图片 4" descr="614aa5de5b6335b9baecb275b6751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614aa5de5b6335b9baecb275b67518d"/>
                    <pic:cNvPicPr>
                      <a:picLocks noChangeAspect="1"/>
                    </pic:cNvPicPr>
                  </pic:nvPicPr>
                  <pic:blipFill>
                    <a:blip r:embed="rId13"/>
                    <a:stretch>
                      <a:fillRect/>
                    </a:stretch>
                  </pic:blipFill>
                  <pic:spPr>
                    <a:xfrm>
                      <a:off x="0" y="0"/>
                      <a:ext cx="2040890" cy="1530985"/>
                    </a:xfrm>
                    <a:prstGeom prst="rect">
                      <a:avLst/>
                    </a:prstGeom>
                  </pic:spPr>
                </pic:pic>
              </a:graphicData>
            </a:graphic>
          </wp:inline>
        </w:drawing>
      </w:r>
    </w:p>
    <w:p>
      <w:pPr>
        <w:pStyle w:val="2"/>
        <w:ind w:firstLine="480"/>
      </w:pPr>
      <w:r>
        <w:rPr>
          <w:rFonts w:hint="eastAsia"/>
          <w:shd w:val="clear" w:color="auto" w:fill="FDFDFE"/>
        </w:rPr>
        <w:t xml:space="preserve">  </w:t>
      </w:r>
    </w:p>
    <w:p>
      <w:pPr>
        <w:pStyle w:val="2"/>
        <w:ind w:firstLine="480"/>
      </w:pPr>
      <w:r>
        <w:rPr>
          <w:shd w:val="clear" w:color="auto" w:fill="FDFDFE"/>
        </w:rPr>
        <w:t>此次TSN系统设计论坛的召开，不仅为学术界和产业界提供了一个交流与合作的平台，也为TSN技术的未来发展指明了方向。信而泰将以此为契机，加强与行业内外合作伙伴的紧密合作，共同推动TSN技术的创新与应用，为科技进步和社会发展贡献更多力量。</w:t>
      </w:r>
    </w:p>
    <w:p>
      <w:pPr>
        <w:rPr>
          <w:rFonts w:asciiTheme="minorEastAsia" w:hAnsiTheme="minorEastAsia"/>
        </w:rPr>
      </w:pPr>
    </w:p>
    <w:p>
      <w:pPr>
        <w:rPr>
          <w:rFonts w:asciiTheme="minorEastAsia" w:hAnsiTheme="minorEastAsia"/>
        </w:rPr>
      </w:pPr>
    </w:p>
    <w:p>
      <w:pPr>
        <w:rPr>
          <w:rFonts w:asciiTheme="minorEastAsia" w:hAnsiTheme="minorEastAsia"/>
        </w:rPr>
      </w:pPr>
    </w:p>
    <w:p>
      <w:pPr>
        <w:rPr>
          <w:rFonts w:hint="eastAsia" w:asciiTheme="minorEastAsia" w:hAnsiTheme="minorEastAsia"/>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Segoe UI">
    <w:panose1 w:val="020B0502040204020203"/>
    <w:charset w:val="00"/>
    <w:family w:val="swiss"/>
    <w:pitch w:val="default"/>
    <w:sig w:usb0="E4002EFF" w:usb1="C000E47F"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MzNjAyNzRkYTQ2YjhlZDZmM2RjZjE3MzliOTM5YzYifQ=="/>
  </w:docVars>
  <w:rsids>
    <w:rsidRoot w:val="51F6692F"/>
    <w:rsid w:val="00481E51"/>
    <w:rsid w:val="007455B8"/>
    <w:rsid w:val="00A1165E"/>
    <w:rsid w:val="00AD44C1"/>
    <w:rsid w:val="00B41DFB"/>
    <w:rsid w:val="00E40BAA"/>
    <w:rsid w:val="0294103E"/>
    <w:rsid w:val="05485881"/>
    <w:rsid w:val="07A11524"/>
    <w:rsid w:val="0A8E001D"/>
    <w:rsid w:val="0E93090E"/>
    <w:rsid w:val="10A122E9"/>
    <w:rsid w:val="1E7554E1"/>
    <w:rsid w:val="27803CEE"/>
    <w:rsid w:val="2B3E4EAD"/>
    <w:rsid w:val="2CC51EB1"/>
    <w:rsid w:val="2E2A28DF"/>
    <w:rsid w:val="2F104DB2"/>
    <w:rsid w:val="324C7EAF"/>
    <w:rsid w:val="326838C0"/>
    <w:rsid w:val="3FD633C9"/>
    <w:rsid w:val="47B3292B"/>
    <w:rsid w:val="4EA43238"/>
    <w:rsid w:val="51F100B6"/>
    <w:rsid w:val="51F6692F"/>
    <w:rsid w:val="5A8D7133"/>
    <w:rsid w:val="6DB6269C"/>
    <w:rsid w:val="6F4909F6"/>
    <w:rsid w:val="7536001A"/>
    <w:rsid w:val="75593880"/>
    <w:rsid w:val="7BDE0B0B"/>
    <w:rsid w:val="7D692C9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autoRedefine/>
    <w:semiHidden/>
    <w:unhideWhenUsed/>
    <w:qFormat/>
    <w:uiPriority w:val="1"/>
  </w:style>
  <w:style w:type="table" w:default="1" w:styleId="3">
    <w:name w:val="Normal Table"/>
    <w:autoRedefine/>
    <w:semiHidden/>
    <w:unhideWhenUsed/>
    <w:qFormat/>
    <w:uiPriority w:val="99"/>
    <w:tblPr>
      <w:tblCellMar>
        <w:top w:w="0" w:type="dxa"/>
        <w:left w:w="108" w:type="dxa"/>
        <w:bottom w:w="0" w:type="dxa"/>
        <w:right w:w="108" w:type="dxa"/>
      </w:tblCellMar>
    </w:tblPr>
  </w:style>
  <w:style w:type="paragraph" w:styleId="2">
    <w:name w:val="Normal (Web)"/>
    <w:basedOn w:val="1"/>
    <w:autoRedefine/>
    <w:qFormat/>
    <w:uiPriority w:val="0"/>
    <w:pPr>
      <w:widowControl/>
      <w:shd w:val="clear" w:color="auto" w:fill="FDFDFE"/>
      <w:spacing w:before="210" w:line="26" w:lineRule="atLeast"/>
      <w:ind w:firstLine="440" w:firstLineChars="200"/>
      <w:jc w:val="left"/>
    </w:pPr>
    <w:rPr>
      <w:sz w:val="24"/>
    </w:rPr>
  </w:style>
  <w:style w:type="character" w:styleId="5">
    <w:name w:val="Strong"/>
    <w:basedOn w:val="4"/>
    <w:autoRedefine/>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3</Pages>
  <Words>371</Words>
  <Characters>2118</Characters>
  <Lines>17</Lines>
  <Paragraphs>4</Paragraphs>
  <TotalTime>0</TotalTime>
  <ScaleCrop>false</ScaleCrop>
  <LinksUpToDate>false</LinksUpToDate>
  <CharactersWithSpaces>2485</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2024-05-20T01:34:00Z</dcterms:created>
  <dc:creator>信而泰市场部</dc:creator>
  <cp:lastModifiedBy>信而泰市场部</cp:lastModifiedBy>
  <dcterms:modified xsi:type="dcterms:W3CDTF">2024-05-22T02:29:41Z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03358DF4200A49BB8945EE258F997F26_13</vt:lpwstr>
  </property>
</Properties>
</file>