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D4" w:rsidRPr="00723BD4" w:rsidRDefault="00723BD4" w:rsidP="00CC06C9">
      <w:pPr>
        <w:widowControl/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 w:cs="宋体"/>
          <w:b/>
          <w:bCs/>
          <w:kern w:val="36"/>
          <w:sz w:val="28"/>
          <w:szCs w:val="28"/>
        </w:rPr>
      </w:pPr>
      <w:bookmarkStart w:id="0" w:name="_GoBack"/>
      <w:r w:rsidRPr="00723BD4">
        <w:rPr>
          <w:rFonts w:ascii="黑体" w:eastAsia="黑体" w:hAnsi="黑体" w:cs="宋体" w:hint="eastAsia"/>
          <w:b/>
          <w:bCs/>
          <w:kern w:val="36"/>
          <w:sz w:val="28"/>
          <w:szCs w:val="28"/>
        </w:rPr>
        <w:t>AI正在席卷光伏行业</w:t>
      </w:r>
      <w:bookmarkEnd w:id="0"/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来源：中国电子报、电子信息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产业网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</w:t>
      </w: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作者：张维佳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作为光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伏行业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最具影响力的展会之一，国际太阳能光伏与智慧能源展览会（以下简称“SNEC”）一直被视为行业的“晴雨表”与“风向标”。此次SNEC展会是历史上规模最大的一届，展会的展览面积超38万平方米，汇集了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全球超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3600家企业参展。即使行业正在穿越新周期，展会现场每天依旧都是人山人海、熙熙攘攘。各大头部企业凭借技术创新，实现了降本增效、产品升级，开辟了以光伏、储能等新型能源为驱动的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全新产业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格局。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n</w:t>
      </w:r>
      <w:proofErr w:type="gramStart"/>
      <w:r w:rsidRPr="00723BD4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型全面</w:t>
      </w:r>
      <w:proofErr w:type="gramEnd"/>
      <w:r w:rsidRPr="00723BD4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替代p型势不可当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提升电池转换效率和降低度电成本是光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伏产业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永恒的主题。随着p型电池转化效率逐渐接近天花板，n型技术路线脱颖而出，成为行业的“新宠”。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记者在现场感受到，在本届展会上，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已鲜少看见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p型产品的身影，n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型成为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绝对主流，n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型全面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替代p型势不可当。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目前主流n型电池有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TOPCon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、异质结（HJT）、BC技术等。当前，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TOPCon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凭借规模优势已成为大部分企业的主打产品。然而，在本届SNEC上，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TOPCon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组件在转换效率、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瓦数或版型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上相差不大，组件转换效率多集中在22%~23%；反倒是异质结（HJT）、BC等技术新品更加引人注目，部分产品量产效率更是“卷”至25%。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center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drawing>
          <wp:inline distT="0" distB="0" distL="0" distR="0" wp14:anchorId="32F8D699" wp14:editId="0F4D722B">
            <wp:extent cx="2076450" cy="3119799"/>
            <wp:effectExtent l="0" t="0" r="0" b="4445"/>
            <wp:docPr id="4" name="图片 4" descr="https://static.cena.com.cn/attach/image/20240618/171867718034376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cena.com.cn/attach/image/20240618/17186771803437688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95" cy="312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center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隆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基绿能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Hi-MO9组件产品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BC技术龙头企业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隆基绿能带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来Hi-MO9组件产品。据介绍，该产品基于泰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睿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硅片，并使用隆基自主研发的HPBC 2.0电池技术，在2382mm×1134mm×30mm的标准尺寸下，组件功率最高660W，较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TOPCon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产品高出约30W，组件最高效率可达24.43%；首年衰减为1%，次年衰减仅为0.35%，预计在今年第四季度量产。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“HPBC电池理论极限转换效率高达29.1%，高于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TOPCon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和HJT的28.7%和28.5%，接近晶硅光伏电池理论效率极限29.43%。”隆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基绿能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产品解决方案部高级经理唐毅告诉《中国电子报》记者，此外，BC电池是一种平台型技术，具备与优异的电池技术叠加的能力，可与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TOPCon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、HJT和钙钛矿等技术相结合，从而突破单一技术路线的效率瓶颈。隆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基绿能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相信，BC技术将在5年内成为主流技术。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另一主推BC技术的企业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爱旭股份则发布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“满屏”ABC组件，并宣布其最高功率达700W，转换效率突破25%，成为目前全球量产交付效率最高的光伏组件。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池正面无栅线，是上述两款产品的优势之一。“以往在电池片之间是有间隔留白的，现在我们通过精准叠焊等技术将这些片间距消除了。这意味着，电池片占有组件的面积增大，组件受光面积也变得更多。如果电池片占有组件面积接近100%，看起来整个组件的‘屏幕’都能发电。”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爱旭股份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相关负责人向记者介绍道。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center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drawing>
          <wp:inline distT="0" distB="0" distL="0" distR="0" wp14:anchorId="29219325" wp14:editId="0816BCC6">
            <wp:extent cx="3321050" cy="2214033"/>
            <wp:effectExtent l="0" t="0" r="0" b="0"/>
            <wp:docPr id="3" name="图片 3" descr="https://static.cena.com.cn/attach/image/20240618/17186771939614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cena.com.cn/attach/image/20240618/1718677193961443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21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center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协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鑫光电大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尺寸钙钛矿组件系列产品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异质结（HJT）、钙钛矿组件产品表现同样不俗。东方日升宣布，其研发的异质结（HJT）新品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伏曦系列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组件的最高功率达767.38Wp，组件转换率达24.70%；隆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基绿能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在展会上宣布，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其晶硅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—钙钛矿叠层太阳电池再次刷新晶硅—钙钛矿叠层电池效率世界纪录，光电转换效率高达34.6%；协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鑫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光电本次展出的钙钛矿单结组件在1m×2m的尺寸下实现了19.04%的转化率新突破……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此外，光伏组件功率也越来越大，700W基本成为标配。东方日升异质结（HJT）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伏曦系列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组件最高功率达到767.38W；天合光能展出其至尊n型720W系列组件；通威股份、协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鑫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集成等均有700W以上产品展出。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proofErr w:type="gramStart"/>
      <w:r w:rsidRPr="00723BD4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光储融合</w:t>
      </w:r>
      <w:proofErr w:type="gramEnd"/>
      <w:r w:rsidRPr="00723BD4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愈加明显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与传统能源相比，光伏、风电等可再生能源存在间歇性、波动性等问题，在并网稳定性的要求下，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光储深度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融合成为必然趋势。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在本届SNEC上，储能技术及产品俨然成为了另一“主角”。值得一提的是，SNEC主要为光伏展会，但近年来，越来越多的储能厂商参与其中，这其中不仅有电池企业、储能垂直厂商，而且天合光能、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晶科能源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、阳光电源等光伏龙头企业也纷纷走向“光储融合”之路。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晶科能源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带来多款全新升级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的光储方案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。其中，蓝鲸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SunTera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5 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MWh</w:t>
      </w:r>
      <w:proofErr w:type="spellEnd"/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源网侧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储能系统，系统设计由电芯到系统五级防护，有效预防热蔓延；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凭借簇级管理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方案，循环充放电效率（RTE）提升超2%；智能液冷设计，可将Pack温差控制在2℃以内，从而降低系统辅助功耗20%。此外，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晶科能源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推出海豚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SunGiga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261液冷一体柜，系统电池功率达到125kW，可为用户提供1000V储能系统解决方案。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center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drawing>
          <wp:inline distT="0" distB="0" distL="0" distR="0" wp14:anchorId="6B54B299" wp14:editId="2B547A0A">
            <wp:extent cx="3305175" cy="2203450"/>
            <wp:effectExtent l="0" t="0" r="9525" b="6350"/>
            <wp:docPr id="2" name="图片 2" descr="https://static.cena.com.cn/attach/image/20240618/17186772799230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cena.com.cn/attach/image/20240618/171867727992300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153" cy="220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center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科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华数能零碳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园区解决方案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华为数字能源发布了全球首款从芯到网的智能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组串式构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网型储能平台，平台包含智能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组串式构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网型储能系统、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智能组串式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储能控制器等，可兼容不同规格的大容量磷酸铁锂电芯，支持全倍率场景应用，实现生命周期内更优度电成本。同时还发布了智能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光风储发电机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解决方案，从“重构电压稳定、重构频率稳定、重构</w:t>
      </w: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功角稳定”三个方面，提升电网对新能源的消纳能力，与传统储能方案相比，新能源接入能力可提升40%。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科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华数能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展示了智慧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光储充全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场景解决方案。针对大型地面光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伏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电站，带来全新一代5MW集中式光伏逆变升压一体机和320kW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组串式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逆变器，可在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沙戈荒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水面等多种场景中为项目带来更优价值服务；针对家庭户储，带来S3-iStoragE3户用光储一体机系统，支持150V~1100V超宽工作电压范围，为家庭提供充足的电力支持，不仅能够保障照明、各类电器等的正常运转，还可以用于新能源汽车电池充电，适配农村等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弱电网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环境。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光储技术革命性突破窗口期来临，光储产业将在变化中持续重塑新格局。”厦门科华数能科技有限公司总裁崔剑告诉《中国电子报》记者，然而，电力系统是一个高度复杂且关键的基础设施，现有规范标准还不足以完全覆盖所有节点，这些创新也面临着不确定性。尽管技术在快速演变，但其底层逻辑是围绕高可靠、大容量、高安全和长寿命的发展趋势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天合光能、特变电工、宁德时代、比亚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迪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储能、欣旺达、兰钧新能源、海辰储能等企业均亮相本届SNEC展会，展示自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研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电芯和面向大储、工商业和户用等多场景的储能系统产品。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人工智能技术与</w:t>
      </w:r>
      <w:proofErr w:type="gramStart"/>
      <w:r w:rsidRPr="00723BD4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光储行业</w:t>
      </w:r>
      <w:proofErr w:type="gramEnd"/>
      <w:r w:rsidRPr="00723BD4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加速结合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当前，人工智能技术（AI）正在改变生产方式。生成式人工智能技术的涌现，也为新能源产业优化升级提供了新的可能。在本届展会上，各类光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储企业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积极拥抱AI技术，深入推进智能化成为大势所趋。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爱士惟新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发布了AI能源管理平台“爱管家”。据介绍，这是通义大模型首次应用于光伏行业，与传统的能源管理系统相比，“爱管家”可通过能源管理算法，更智能地预判储能电池等设备的最佳充放电时机，进一步降低用电成本等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阳光电源在展会上宣布，其已成功完成了全球首个储能系统大规模燃烧测试实证。“随着大容量、长时储能的应用，直流侧电流、电压等级不断上升，因拉弧，又称‘打火’导致的安全风险增加。然而，因储能系统控制逻辑的复杂性和数据传输效率瓶颈，直流拉弧安全技术仍是空白。”阳光电源相关负责人向记者介绍道，借助PCS拉弧识别动态算法、高精度传感及风险数据监测等核心技术，阳光电源构建了拉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弧风险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预测、感应及抑制一体的技术平台，实现了源头防弧、精准</w:t>
      </w: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识弧、快速灭弧。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依托算力提升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和人工智能自学习技术，可自适应各种复杂场景，达到零误报漏报，100%精准识弧，0.2秒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极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速灭弧。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center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drawing>
          <wp:inline distT="0" distB="0" distL="0" distR="0" wp14:anchorId="62DA9F08" wp14:editId="7813E818">
            <wp:extent cx="3708400" cy="2472267"/>
            <wp:effectExtent l="0" t="0" r="6350" b="4445"/>
            <wp:docPr id="1" name="图片 1" descr="https://static.cena.com.cn/attach/image/20240618/17186772904061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cena.com.cn/attach/image/20240618/171867729040614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47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center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天合光能储能产品——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ELementa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金刚2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天合光能首发了新一代AI仿生液冷工商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储系统</w:t>
      </w:r>
      <w:proofErr w:type="spellStart"/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Potentia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蓝海2。据介绍，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Potentia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蓝海2搭载A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级优+车规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级314Ah天合芯，采用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预补锂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缓释技术达成首年循环零衰减，革新电力流动算法，强化负荷预测，可有效提升1.5%的能量转化效率。此外，</w:t>
      </w:r>
      <w:proofErr w:type="spell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Potentia</w:t>
      </w:r>
      <w:proofErr w:type="spell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蓝海2全域覆盖数字化云平台，实现10秒一键自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检安调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，基于多端口共享运维界面，构筑APP-Web-Cloud管理循环，落实OTA远程升级调控操作。</w:t>
      </w:r>
    </w:p>
    <w:p w:rsidR="00723BD4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在储能和能源领域中，智能化和AI大模型具有巨大的应用空间。”江苏为恒智能科技有限公司副总裁杨树指出，光伏、风电等不确定性新能源的分布式接入，以及超出常规的大负荷、大功率复合的接入，给电网侧和负荷侧都带来了极大的不确定性。面对这些不确定性因素，如何准确预测并配置策略、</w:t>
      </w:r>
      <w:proofErr w:type="gramStart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平衡源网荷储</w:t>
      </w:r>
      <w:proofErr w:type="gramEnd"/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，如何推荐储能和负载的最佳使用方式，使整个系统的收益达到最佳水平，都成为了行业所要面对的重要挑战。而智能化技术将解决相关问题。</w:t>
      </w:r>
    </w:p>
    <w:p w:rsidR="009433A6" w:rsidRPr="00723BD4" w:rsidRDefault="00723BD4" w:rsidP="00CC06C9">
      <w:pPr>
        <w:widowControl/>
        <w:adjustRightInd w:val="0"/>
        <w:snapToGrid w:val="0"/>
        <w:spacing w:line="360" w:lineRule="auto"/>
        <w:ind w:firstLine="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723BD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天合光能副总裁、天合储能总裁孙伟介绍，在制造端，天合储能滁州生产基地关键生产工序及4000多个质量控制点均完成智能化MES（制造执行系统）全覆盖，能对生产过程产生的数据进行采集、分析，实现自识别、自反馈，自调整、自学习。“未来，随着我们自建产能中交互的增多，积累的数据也将越来越多，我们将进一步利用数学模型等信息化技术，进行产线优化，从而降低成本、保障产品品质，进一步向智能制造迈进。”孙伟说道。</w:t>
      </w:r>
    </w:p>
    <w:sectPr w:rsidR="009433A6" w:rsidRPr="00723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35"/>
    <w:rsid w:val="00723BD4"/>
    <w:rsid w:val="009433A6"/>
    <w:rsid w:val="00B25D35"/>
    <w:rsid w:val="00C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23B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3BD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23B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3B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23BD4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723BD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23B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23B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3BD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23B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3B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23BD4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723BD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23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531</Words>
  <Characters>3032</Characters>
  <Application>Microsoft Office Word</Application>
  <DocSecurity>0</DocSecurity>
  <Lines>25</Lines>
  <Paragraphs>7</Paragraphs>
  <ScaleCrop>false</ScaleCrop>
  <Company>Organization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2024-06-18T08:11:00Z</dcterms:created>
  <dcterms:modified xsi:type="dcterms:W3CDTF">2024-06-18T08:29:00Z</dcterms:modified>
</cp:coreProperties>
</file>