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D" w:rsidRDefault="003430E1" w:rsidP="003430E1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</w:pPr>
      <w:r w:rsidRPr="003430E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工信部印发</w:t>
      </w:r>
      <w:proofErr w:type="gramStart"/>
      <w:r w:rsidRPr="003430E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《</w:t>
      </w:r>
      <w:proofErr w:type="gramEnd"/>
      <w:r w:rsidRPr="003430E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工业重点行业领域设备更新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r w:rsidRPr="003430E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和技术改造指南》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来源： 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综合</w:t>
      </w:r>
      <w:bookmarkStart w:id="0" w:name="_GoBack"/>
      <w:bookmarkEnd w:id="0"/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工业和信息化部近日发布了《工业重点行业领域设备更新和技术改造指南》。其中提到，我国将在27个工业重点行业领域进行大规模设备更新，并纷纷设定了到2027年的更新目标。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这27个行业包括石化化工行业、钢铁行业、有色金属行业、建材行业、汽车行业、工程机械行业、工业机器人行业、工业母机行业、船舶行业、仪器仪表行业、光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伏行业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等。</w:t>
      </w: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br/>
        <w:t>《指南》明确了仪器仪表行业设备更新目标。以下是（重点行业）——仪器仪表行业摘录。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（一）设备更新目标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提升仪器仪表整机产品及关键零部件的精度、可靠性、稳定性，提升仪器仪表行业高端化、绿色化、智能化水平为重点，围绕研发试制、整机制造、关键零部件制造、测试计量检定等方向，推动仪器仪表及零部件企业对效率低、能耗高的生产设备及系统开展更新改造。到2027 年，实现仪器仪表企业生产效率、产品性能与质量提升，推动仪器仪表企业数字化转型、智能化升级。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（二）政策和标准依据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主要政策和标准依据包括但不限于：《产业结构调整指导目录（2024 年本）》《GB/T 43780－2024 制造装备智能化通用技术要求》《GB 4793.1－2007 测量、控制和实验室用电气设备的安全要求第1 部分：通用要求》《GB/T 17614.1－2015 工业过程控制系统用变送器第1 部分：性能评定方法》《GB/T 12519－2021 分析仪器通用技术条件》《GB/T 42027－2022 气相分子吸收光谱仪》《GB/T 2611－2022 试验机通用技术要求》《GB/T 33905.1－2017 智能传感器第1 部分：总则》《GB/T 7676.1－2017直接作用模拟指示电测量仪表及其附件第1 部分定义和通用要求》《JB/T 12021.1－2014 智能仪表可靠性试验与评估第1 部分:通用导则》等。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（三）重点方向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1.研发试制设备。主要包括气体、液体、固体等样品制备设备，物理量、化学量、生物量等实验室分析仪器，测量仪器仪表、中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试验证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设备，高温高压试验装置、加速寿命试验设备，光学、机械、电气等设计软件，专用测试验证软件及设备等。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2.整机产品制造设备。围绕仪器仪表整机产品加工、焊接、组装等工艺环节，重点更新金属切削机床、加工中心、液压机械装备、铸造设备、锻压设备、焊接设备、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增材制造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设备、表面处理设备、喷涂设备、装配设备、仓储物流设备、全自动测试和检定设备、三废处理设备及配套控制系统、信息化管理系统等。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3.关键零部件制造设备。围绕源部件、探测器、传感器、分离分析部件等制造、装配过程，重点更新数控车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铣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复合加工中心、锻造成套装备、注塑成型设备、装配设备等制造设备，贴片机、回流焊、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微纳加工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工艺设备、中小部件柔性加工设备、光学原件镀膜设备等生产设备及配套测试系统等。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计量检定装置及试验测试设备。温度、压力、流量、电学等计量检定装置，质谱仪、色谱仪、光学测试仪器、电化学分析仪器、物理特性分析校准仪器等分析仪器及样品制备设备，老化疲劳测试及试验设备、单应力/多应力环境适应性试验箱及气候环境试验设备、电子可靠性试验设备、气密性试验设备、放射性标定装置等试验仪器及装置，试验机、振动与冲击试验系统、真空检测设备、自动化成套控制系统等其他检测设备，计量检定相关信息化管理系统等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工业操作系统。围绕仪器仪表整机产品加工、焊接、组装等工艺环节，按照“成熟可用产品全面推进更新换代、基本可用产品成熟一批更新一批”原则，推动可编程逻辑控制器（PLC）、数据采集与监视控制系统（SCADA）、嵌入式软件等工业操作系统产品更新换代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6.工业软件。按照“成熟一批替代一批”的原则，更新换代研发设计类软件、生产制造类软件、经营管理类软件、运维服务类软件。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《工业重点行业领域设备更新和技术改造指南》的发布，对仪器仪表行业有哪些影响？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 推动技术升级：指南鼓励企业进行设备更新和技术改造，这将促进仪器仪表行业向更高效、更智能的方向发展，提升产品的性能和可靠性。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 促进智能化转型：随着工业自动化和智能化的推进，仪器仪表行业需要开发更多智能传感器、智能控制系统等，以满足工业自动化的需求。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 提高能效和环保标准：指南中对节能减</w:t>
      </w:r>
      <w:proofErr w:type="gramStart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排提出</w:t>
      </w:r>
      <w:proofErr w:type="gramEnd"/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了明确要求，仪器仪表行业需要研发更多高效节能的测量工具和监控系统，帮助企业降低能耗和排放。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 增强安全性能：指南强调了安全生产的重要性，仪器仪表行业需要提供更多安全监控和预警设备，以提升工业生产的安全性。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 推动产业链协同：指南鼓励产业链上下游协同发展，仪器仪表企业可以与上下游企业合作，共同提升整个产业链的技术水平和竞争力。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 加大研发投入：为了满足指南中的技术改造要求，仪器仪表企业可能会增加研发投入，推动技术创新和产品升级。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 开拓新的市场机会：随着各行业对高效、智能、环保设备的需求增加，仪器仪表行业有望开拓新的市场机会，实现业务增长。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 提升国际竞争力：通过技术改造和设备更新，仪器仪表行业的产品质量和技术水平将得到提升，有助于提高国际市场的竞争力。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430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综上所述，该指南的发布将对仪器仪表行业产生积极影响，推动行业技术创新和产业升级，同时也为企业带来了新的挑战和机遇。</w:t>
      </w:r>
    </w:p>
    <w:p w:rsidR="003430E1" w:rsidRPr="003430E1" w:rsidRDefault="003430E1" w:rsidP="003430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3430E1" w:rsidRPr="003430E1" w:rsidRDefault="003430E1" w:rsidP="003430E1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3430E1"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  <w:t>《工业重点行业领域设备更新和技术改造指南》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 w:rsidRPr="003430E1">
        <w:rPr>
          <w:rStyle w:val="a4"/>
          <w:color w:val="000000" w:themeColor="text1"/>
        </w:rPr>
        <w:t>重点行业：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一、石化化工行业。《指南》指出，以炼化、煤化工、氯碱、纯碱、电石、磷肥、轮胎、精细化工等领域达到设计使用年限或实际投产运行超过20年的主体老旧装置为重点，推动老旧装置绿色化、智能化、安全化改造，加快更新改造老旧、低效、高风险设备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、钢铁行业。《指南》指出，以铁矿采选、铁合金冶炼、焦化、烧结、球团、炼铁、炼钢、轧钢等工序限制类装备升级改造和老旧设备更新改造为重点，推进主体设备大型化、智能化、绿色化改造，实施钢铁行业超低排放改造和能效提升，促进先进工艺、智能装备和数字化技术的应用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三、有色金属行业。《指南》指出，重点推动有色金属行业节能</w:t>
      </w:r>
      <w:proofErr w:type="gramStart"/>
      <w:r w:rsidRPr="003430E1">
        <w:rPr>
          <w:color w:val="000000" w:themeColor="text1"/>
        </w:rPr>
        <w:t>降碳减污和</w:t>
      </w:r>
      <w:proofErr w:type="gramEnd"/>
      <w:r w:rsidRPr="003430E1">
        <w:rPr>
          <w:color w:val="000000" w:themeColor="text1"/>
        </w:rPr>
        <w:t>数字化智能化改造，推广绿色高效采选、冶炼、材料加工等装备，推动采掘、磨浮、熔炼、电解、挤压、锻造、轧制等重点工序在线检测装置、先进过程控制和智能装备的应用。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四、建材行业。《指南》指出，以减</w:t>
      </w:r>
      <w:proofErr w:type="gramStart"/>
      <w:r w:rsidRPr="003430E1">
        <w:rPr>
          <w:color w:val="000000" w:themeColor="text1"/>
        </w:rPr>
        <w:t>污降碳</w:t>
      </w:r>
      <w:proofErr w:type="gramEnd"/>
      <w:r w:rsidRPr="003430E1">
        <w:rPr>
          <w:color w:val="000000" w:themeColor="text1"/>
        </w:rPr>
        <w:t>、节能降耗、数字化转型为重点，改造升级矿山开采、选矿加工、原料制备、窑炉控制、粉磨破碎等工艺流程中的装备，更新在线监测、能源管理、智能控制等设备，实现主要产品单位能耗、碳排放强度不断下降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五、汽车行业。《指南》指出，以新能源汽车整车及零部件生产环节设备为重点，围绕整车冲压、焊接、涂装、总装 4 大工艺及零部件生产制造，更新应用先进制造技术、自动化和柔性化技术、节能环保技术及相应设备，支持企业实施技术升级与改造更新。到2027年，实现汽车及零部件生产效率、能耗、环保水平及产品质量等再上新台阶。涉及整车产能变化的，应符合产业政策要求并履行相关程序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六、工程机械行业。《指南》指出，以推动生产制造设备</w:t>
      </w:r>
      <w:proofErr w:type="gramStart"/>
      <w:r w:rsidRPr="003430E1">
        <w:rPr>
          <w:color w:val="000000" w:themeColor="text1"/>
        </w:rPr>
        <w:t>及产线智能化</w:t>
      </w:r>
      <w:proofErr w:type="gramEnd"/>
      <w:r w:rsidRPr="003430E1">
        <w:rPr>
          <w:color w:val="000000" w:themeColor="text1"/>
        </w:rPr>
        <w:t>升级为重点，更新改造各类生产设备(包括机床、油压机、折弯机、涂装设备、焊接设备、切割机、热处理与表面处理装备、装配与调试装备、起重运输装备等)、工艺设备、科研实验设备、检测试验设备，以及仓储物流、能源动力、安全环保等辅助设备。到2027年，新产品生产效率大幅提高，生产成本显著下降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七、重型机械行业。《指南》指出，以冶金、矿山等领域重型机械生产制造老旧设备更新、智能化和绿色化升级改造为重点，推动关键研发设计、能源动力、生产制造和检验检测设备更新，推广应用稳定性好、加工精度高、自动化和智能化水平高、高效节能、绿色环保的设备。到2027年，重型机械行业关键设备的自动化和数字化水平显著提升，生产成本和能耗水平显著降低，生产质量和效率大幅提高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八、基础零部件与基础制造工艺行业。《指南》指出，聚焦基础零部件与基础制造工艺行业能力提升，以高端化、智能化、绿色化改造为重点，加快核心基础零部件研发设计、生产制造、试验检测等环节先进工艺技术和设备更新改造，加大重点领域</w:t>
      </w:r>
      <w:proofErr w:type="gramStart"/>
      <w:r w:rsidRPr="003430E1">
        <w:rPr>
          <w:color w:val="000000" w:themeColor="text1"/>
        </w:rPr>
        <w:t>全业务</w:t>
      </w:r>
      <w:proofErr w:type="gramEnd"/>
      <w:r w:rsidRPr="003430E1">
        <w:rPr>
          <w:color w:val="000000" w:themeColor="text1"/>
        </w:rPr>
        <w:t>流程“智改数转网联”，推动铸造、锻压等行业节能减排、节水降污、节材降耗升级改造，深入推进园区循环化改造。到2027年，完成一批先进设备更新换代，推广一批先进制造模式，实现行业生产效率和技术水平显著提升，产业</w:t>
      </w:r>
      <w:proofErr w:type="gramStart"/>
      <w:r w:rsidRPr="003430E1">
        <w:rPr>
          <w:color w:val="000000" w:themeColor="text1"/>
        </w:rPr>
        <w:t>链供应</w:t>
      </w:r>
      <w:proofErr w:type="gramEnd"/>
      <w:r w:rsidRPr="003430E1">
        <w:rPr>
          <w:color w:val="000000" w:themeColor="text1"/>
        </w:rPr>
        <w:t>链稳定性和竞争力明显增强。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九、工业机器人行业。《指南》指出，面向高端化、智能化、绿色化发展方向，以建设数字化车间和智能工厂为抓手，加快推进工业机器人整机、零部件及系统集成企业的设备更新和技术改造，着力提升工业机器人生产过程的数字化网络化智能化水平，缩短产品研制周期，降低生产成本，提高生产效率和产品质量，减少能源消耗，显著提升工业机器人产品竞争力。到2027年，工业机器人行业用设备</w:t>
      </w:r>
      <w:proofErr w:type="gramStart"/>
      <w:r w:rsidRPr="003430E1">
        <w:rPr>
          <w:color w:val="000000" w:themeColor="text1"/>
        </w:rPr>
        <w:t>的数智化</w:t>
      </w:r>
      <w:proofErr w:type="gramEnd"/>
      <w:r w:rsidRPr="003430E1">
        <w:rPr>
          <w:color w:val="000000" w:themeColor="text1"/>
        </w:rPr>
        <w:t>水平、节能环保水平、生产效率大幅提高，工业机器人关键零部件、整机性能质量显著提升，工业机器人全产业链供给能力明显增强。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、工业母机行业。《指南》指出，聚焦工业母机行业高端化、绿色化和智能化发展，以提升工业母机整机产品稳定性、可靠性、效率，数控系统/功能部件可靠性及精度，制造过程智能化水平为重点，更新改造工业母机企业在研发设计、加工制造、装配调试、检测试验等环节所需的设备。到2027年，规模以上工业母机企业数字化研发设计工具普及率、关键工序数控化率分别超过90%、75%，工业母机骨干企业完成重点设备更新及技术改造，制造能力有效提升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一、船舶行业。《指南》指出，以智能化绿色化改造为主线，重点推动智能制造装备、绿色制造装备在船舶制造业的推广应用，更新船舶制造、修理、改装及配套过程中加工、装配、切割、喷砂、涂装、焊接、舾装、除锈、中小组立、运输、仓储物流、检验检测、起重、公用动力、节能降碳、绿色环保等设备。加快高端船舶与海洋工程装备生产建造设备升级，推广应用先进船用电池动力总成系统，推动沿海内河船舶电气化改造。以船舶工业软件更新换代为重点，推动船舶工业软件研发应用。引导企业开展智能绿色工艺升级改造，加快数字化转型，创建智能绿色工厂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十二、航空行业。《指南》指出，聚焦</w:t>
      </w:r>
      <w:proofErr w:type="gramStart"/>
      <w:r w:rsidRPr="003430E1">
        <w:rPr>
          <w:color w:val="000000" w:themeColor="text1"/>
        </w:rPr>
        <w:t>民用大</w:t>
      </w:r>
      <w:proofErr w:type="gramEnd"/>
      <w:r w:rsidRPr="003430E1">
        <w:rPr>
          <w:color w:val="000000" w:themeColor="text1"/>
        </w:rPr>
        <w:t>飞机、大型水陆两栖飞机、航空发动机三大领域，提升总装集成、试验验证、供应链配套、运营支持、数字化五大能力。到2027年，升级航空发动机、大飞机试验验证平台，改造飞机培训设备、信息化设备，完成专业数字化仿真设备升级，更新电子元器件检测验证平台，完成大型水陆两栖飞机批生产、软硬件、客户服务等设备升级，更新航空领域工业操作系统和工业软件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十三、石化通用装备行业。《指南》指出，以石油石化装备生产制造自动化智能化升级为重点，以绿色工厂、数字化工厂建设为目标，更新改造油气专用装备的加工和检测设备。到2027年，大型高端随钻井</w:t>
      </w:r>
      <w:proofErr w:type="gramStart"/>
      <w:r w:rsidRPr="003430E1">
        <w:rPr>
          <w:color w:val="000000" w:themeColor="text1"/>
        </w:rPr>
        <w:t>下工具</w:t>
      </w:r>
      <w:proofErr w:type="gramEnd"/>
      <w:r w:rsidRPr="003430E1">
        <w:rPr>
          <w:color w:val="000000" w:themeColor="text1"/>
        </w:rPr>
        <w:t>仪器和高压泵阀箱体/壳体复杂结构的加工普遍实现</w:t>
      </w:r>
      <w:proofErr w:type="gramStart"/>
      <w:r w:rsidRPr="003430E1">
        <w:rPr>
          <w:color w:val="000000" w:themeColor="text1"/>
        </w:rPr>
        <w:t>一次装夹成型</w:t>
      </w:r>
      <w:proofErr w:type="gramEnd"/>
      <w:r w:rsidRPr="003430E1">
        <w:rPr>
          <w:color w:val="000000" w:themeColor="text1"/>
        </w:rPr>
        <w:t>，加工精度普遍提高1个数量级(到0.01mm 或更高精度)。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四、轨道交通装备行业。《指南》指出，以生产制造、起重运输、试验验证研发等设备为重点，重点推动生产、运营各环节的数字化转型，打造智能化生产线，建设一批数字化车间，提升协同设计、生产制造、故障预测与健康管理(PHM)系统运维等各环节的效率，更新改造高精度加工机床、冲压成型下料设备、起重运输设备、焊接设备、铸锻设备、喷涂设备、调试设备、电气控制设备、仪器仪表等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十五、农机装备行业。《指南》指出，以推动农机装备生产制造设备/</w:t>
      </w:r>
      <w:proofErr w:type="gramStart"/>
      <w:r w:rsidRPr="003430E1">
        <w:rPr>
          <w:color w:val="000000" w:themeColor="text1"/>
        </w:rPr>
        <w:t>产线智能化</w:t>
      </w:r>
      <w:proofErr w:type="gramEnd"/>
      <w:r w:rsidRPr="003430E1">
        <w:rPr>
          <w:color w:val="000000" w:themeColor="text1"/>
        </w:rPr>
        <w:t>升级和效能提升为重点，更新改造各类生产制造设备/</w:t>
      </w:r>
      <w:proofErr w:type="gramStart"/>
      <w:r w:rsidRPr="003430E1">
        <w:rPr>
          <w:color w:val="000000" w:themeColor="text1"/>
        </w:rPr>
        <w:t>产线</w:t>
      </w:r>
      <w:proofErr w:type="gramEnd"/>
      <w:r w:rsidRPr="003430E1">
        <w:rPr>
          <w:color w:val="000000" w:themeColor="text1"/>
        </w:rPr>
        <w:t>(柔性剪切、成型、焊接、机加、涂装、装配及智能化管控系统)、检测试验设备、智能化服务平台设备等。到2027年，设备更新率达到30%，能耗下降15%以上。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六、医疗装备行业。《指南》指出，以高精度加工、自动化组装及先进检测技术为重点，改造高端生产、检测装备，更新用于诊断检验、治疗、监护与生命支持、养老康复等医疗装备的研发、设计、生产、制造等环节的生产型设备。到2027年，基本完成生产加工设备的更新换代，生产设备的自动化、数字化及网络化持续提升，行业整体效率不断提高，生产成本减少，产品竞争力不断增强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七、电力装备行业。《指南》指出，以电力装备行业“智能化改造、数字化转型”为重点，推动生产制造设备高端化、智能化、绿色化，更新改造电力装备的生产加工设备、试验研发设备、节能环保设备等。预计到2027年，核心业务领域关键生产设备实现智能化改造，数字化生产水平大幅度提高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八、食品行业。《指南》指出，以生物发酵、乳制品、酿酒、制糖、制盐、罐头、饮料等领域主体设备达到设计使用年限或实际投产运行超过10年老旧装置为重点，加快更新改造老旧、低效、高耗能设备。到2027年，完成全产业链装备迭代升级，大幅提升生产效率，降低工人劳动强度和能耗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十九、纺织行业。《指南》指出，以老旧设备更新和绿色化升级改造为重点，重点聚焦新型纺纱、织造、机织针织设备更新，加快自动化、连续化、绿色节能设备应用；推动聚合、纺丝、牵伸成套设备更新，进一步提升化纤行业智能化水平；推动定型机、染色机、染料助剂自动输配送系统，提升印染行业节能减排、绿色化数字化水平。到2027年，棉纺行业生产效率显著提升，化纤行业涤纶长丝设备的更新换代率进一步提高，印染行业生产综合成本降低5%-10%，预计全行业完成更新超25万台(套)设备，拉动投资2500亿元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、轻工行业。《指南》指出，以老旧设备更新、智能化和绿色化升级改造等为重点，推动家电、皮革、造纸、五金制品、塑料制品、电动自行车、电池、日用陶瓷等重点轻工行业关键生产制造和检验检测设备更新，推广应用高速和高精度设备、自动化和智能化控制设备、高能效设备等。到2027年，预计全行业完成更新超10万台(套)设备，拉动投资预计2000亿元，重点轻工行业关键设备的自动化程度和数字化率明显提升，生产成本和能耗水平显著降低，生产效率大幅提高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二十一、医药行业。《指南》指出，以老旧设备和</w:t>
      </w:r>
      <w:proofErr w:type="gramStart"/>
      <w:r w:rsidRPr="003430E1">
        <w:rPr>
          <w:color w:val="000000" w:themeColor="text1"/>
        </w:rPr>
        <w:t>新建产线为</w:t>
      </w:r>
      <w:proofErr w:type="gramEnd"/>
      <w:r w:rsidRPr="003430E1">
        <w:rPr>
          <w:color w:val="000000" w:themeColor="text1"/>
        </w:rPr>
        <w:t>重点，推动生物药、化学药、中药等细分行业生产设备更新改造，持续提升质量控制能力，围绕原料药、制剂、炮制、反应器、检测包装等领域，推动全流程监测设备、制剂一体化设备等高效先进设备应用。到2027年，医药工业设备保障能力及生产效率、产品质量等先进性指标明显提升，进一步降低运营成本，提升市场竞争力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二、电子组装行业。《指南》指出，以提升电子整机生产效率、满足新产品工艺需求为重点，面向表面贴装技术(SMT)、组装和包装三大阶段，更新改造生产设备、检测设备、包装设备，提升精密贴附自动化率、</w:t>
      </w:r>
      <w:proofErr w:type="gramStart"/>
      <w:r w:rsidRPr="003430E1">
        <w:rPr>
          <w:color w:val="000000" w:themeColor="text1"/>
        </w:rPr>
        <w:t>点胶和螺接</w:t>
      </w:r>
      <w:proofErr w:type="gramEnd"/>
      <w:r w:rsidRPr="003430E1">
        <w:rPr>
          <w:color w:val="000000" w:themeColor="text1"/>
        </w:rPr>
        <w:t>精度、缺陷检测自动化率、包装自动化率，降低故障率和停机率，实现电子整机制造业的智能化、数字化发展。坚持市场化运作原则，企业根据自身需求实施设备更新，力争到2027年全行业改造设备10000台(套)，电子整机生产效率、产品良率显著提升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三、电子元器件和电子材料行业。《指南》指出，以电子元器件及电子材料生产检测设备的自动化、智能化、柔性化、节能化改造为重点，加快推动电子元器件产品向微型化、片式化、集成化、高频化、高精度、高可靠发展，重点针对电路类元器件、连接类元器件、机电类元器件、传感类元器件、光通信器件、关键电子材料等细分领域，推动更新主要生产检测设备。争取到2027年，全行业设备改造后，基本满足我国电子元器件、电子材料产业及相关行业对高性能、高效率、智能化、绿色化生产检测设备的使用需求，部分领域行业龙头企业的设备水平达到世界一流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二十四、锂电池行业。《指南》指出，重点推动</w:t>
      </w:r>
      <w:proofErr w:type="gramStart"/>
      <w:r w:rsidRPr="003430E1">
        <w:rPr>
          <w:color w:val="000000" w:themeColor="text1"/>
        </w:rPr>
        <w:t>产线迭代</w:t>
      </w:r>
      <w:proofErr w:type="gramEnd"/>
      <w:r w:rsidRPr="003430E1">
        <w:rPr>
          <w:color w:val="000000" w:themeColor="text1"/>
        </w:rPr>
        <w:t>升级和自动化智能化改造，提升整线直通率、单机生产效率、设备控制精度、能源利用效率。更新改造关键材料加工、极片制造、电芯组装、化成分容、系统集成等关键环节设备。到2027年，行业整体生产效率和产品合格率大幅提高，主要环节基本实现在线监测，</w:t>
      </w:r>
      <w:proofErr w:type="gramStart"/>
      <w:r w:rsidRPr="003430E1">
        <w:rPr>
          <w:color w:val="000000" w:themeColor="text1"/>
        </w:rPr>
        <w:t>满足产线高</w:t>
      </w:r>
      <w:proofErr w:type="gramEnd"/>
      <w:r w:rsidRPr="003430E1">
        <w:rPr>
          <w:color w:val="000000" w:themeColor="text1"/>
        </w:rPr>
        <w:t>精度、高效率、高稳定性需要，产品质量和一致性水平进一步提升，高安全、高比能、长寿命先进产品供给能力大幅增强。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</w:rPr>
      </w:pPr>
      <w:r w:rsidRPr="003430E1">
        <w:rPr>
          <w:rStyle w:val="a4"/>
          <w:color w:val="000000" w:themeColor="text1"/>
        </w:rPr>
        <w:t>二十五、仪器仪表行业。</w:t>
      </w:r>
      <w:r w:rsidRPr="003430E1">
        <w:rPr>
          <w:b/>
        </w:rPr>
        <w:t>《指南》指出，以提升仪器仪表整机产品及关键零部件的精度、可靠性、稳定性，提升仪器仪表行业高端化、绿色化、智能化水平为重点，围绕研发试制、整机制造、关键零部件制造、测试计量检定等方向，推动仪器仪表及零部件企业对效率低、能耗高的生产设备及系统开展更新改造。到2027年，实现仪器仪表企业生产效率、产品性能与质量提升，推动仪器仪表企业数字化转型、智能化升级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二十六、光伏行业。《指南》指出，</w:t>
      </w:r>
      <w:proofErr w:type="gramStart"/>
      <w:r w:rsidRPr="003430E1">
        <w:rPr>
          <w:color w:val="000000" w:themeColor="text1"/>
        </w:rPr>
        <w:t>以产线升级</w:t>
      </w:r>
      <w:proofErr w:type="gramEnd"/>
      <w:r w:rsidRPr="003430E1">
        <w:rPr>
          <w:color w:val="000000" w:themeColor="text1"/>
        </w:rPr>
        <w:t>和提升高端化、智能化、绿色化发展水平为重点，重点更新改造多晶硅、硅片、电池、组件等主要环节关键设备，提升设备生产效率、良率、单体规模和产品性能、稳定性、一致性、可靠性，促进构建适应能源转型需求的现代化光</w:t>
      </w:r>
      <w:proofErr w:type="gramStart"/>
      <w:r w:rsidRPr="003430E1">
        <w:rPr>
          <w:color w:val="000000" w:themeColor="text1"/>
        </w:rPr>
        <w:t>伏产业</w:t>
      </w:r>
      <w:proofErr w:type="gramEnd"/>
      <w:r w:rsidRPr="003430E1">
        <w:rPr>
          <w:color w:val="000000" w:themeColor="text1"/>
        </w:rPr>
        <w:t>体系和新能源基础设施网络。到2027年，光</w:t>
      </w:r>
      <w:proofErr w:type="gramStart"/>
      <w:r w:rsidRPr="003430E1">
        <w:rPr>
          <w:color w:val="000000" w:themeColor="text1"/>
        </w:rPr>
        <w:t>伏产业</w:t>
      </w:r>
      <w:proofErr w:type="gramEnd"/>
      <w:r w:rsidRPr="003430E1">
        <w:rPr>
          <w:color w:val="000000" w:themeColor="text1"/>
        </w:rPr>
        <w:t>关键环节智能制造、绿色制造水平大幅提升，量产效率、产品良率等性能持续提升，电耗、水耗等能耗指标明显降低，市场主流电池、组件等产品效率提高5%以上。二十七、民爆行业。《指南》指出，以危险作业岗位无人化为目标，以达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到设计使用年限或实际投产运行超过10年的工业炸药、雷管及混装地面站等设备为重点，推动智能化、绿色化、安全化改造，加快更新改造老旧、低效、高风险设备。到2027年，实现单条工业炸药及雷管生产线现场操作人员不大于3人，无固定操作人员的工业炸药及雷管生产线逐步推广应用，行业智能制造水平和生产线本质安全水平大幅提升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 w:rsidRPr="003430E1">
        <w:rPr>
          <w:rStyle w:val="a4"/>
          <w:color w:val="000000" w:themeColor="text1"/>
        </w:rPr>
        <w:t>重点领域：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一、工业软件领域。《指南》指出，以提升产业</w:t>
      </w:r>
      <w:proofErr w:type="gramStart"/>
      <w:r w:rsidRPr="003430E1">
        <w:rPr>
          <w:color w:val="000000" w:themeColor="text1"/>
        </w:rPr>
        <w:t>链供应</w:t>
      </w:r>
      <w:proofErr w:type="gramEnd"/>
      <w:r w:rsidRPr="003430E1">
        <w:rPr>
          <w:color w:val="000000" w:themeColor="text1"/>
        </w:rPr>
        <w:t>链韧性和安全水平为重点，围绕石油、化工、航空、船舶、钢铁、汽车、医药、轨道交通等关系经济命脉和国计民生的行业领域，推动基础软件、工业软件和工业操作系统更新换代。基础软件方面，重点更新工业领域应用的操作系统、数据库、中间件等产品。工业软件方面，重点更新计算机辅助设计(CAD)、计算机辅助工程(CAE)、计算机辅助制造(CAM)、制造执行系统(MES)、企业资源计划(ERP)等研发设计、生产制造、经营管理、运营维护相关软件。工业操作系统方面，重点更新可编程逻辑控制器(PLC)、分布式控制系统(DCS)、数据采集与监视控制系统(SCADA)、安全仪表系统(SIS)、嵌入式软件等产品。到2027年，完成约200万套工业软件和80万台</w:t>
      </w:r>
      <w:proofErr w:type="gramStart"/>
      <w:r w:rsidRPr="003430E1">
        <w:rPr>
          <w:color w:val="000000" w:themeColor="text1"/>
        </w:rPr>
        <w:t>套工业</w:t>
      </w:r>
      <w:proofErr w:type="gramEnd"/>
      <w:r w:rsidRPr="003430E1">
        <w:rPr>
          <w:color w:val="000000" w:themeColor="text1"/>
        </w:rPr>
        <w:t>操作系统更新换代任务。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二、工业网络设备。《指南》指出，以构建安全可控新型工业网络体系，加快工业互联网规模化应用，促进制造业“智改数转网联”，推动汽车、钢铁、轻工、工程机械、建材、船舶、消费电子、航空、石油化工、消费品等行业的工业设备、工业网络、工业算力、工控系统等网络化改造升级。力争到2027年，80%的规模以上制造业企业基本实现网络化改造，边缘网关、边缘控制器等产品部署超过100万台，“5G+工业互联网”项目数超过2万个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三、绿色节能设备。《指南》指出，以提升资源能源利用效率为重点，聚焦电机及其系统、变压器、工业锅炉等重点用能设备，工业固废和再生资源综合利用设备，冷却塔等重点用水设备实施更新改造。到2027年，新增高效电机、变压器、工业锅炉占比分别较2023年提高10、10、15个百分点；通过工业固废和再生资源综合利用技术工艺装备改造升级，推动大宗工业固废综合利用率超过57%，推动大宗工业固废和再生资源的年综合利用能力提升2000万吨左右；通过冷却塔等用水设备改造，工业冷却塔</w:t>
      </w:r>
      <w:proofErr w:type="gramStart"/>
      <w:r w:rsidRPr="003430E1">
        <w:rPr>
          <w:color w:val="000000" w:themeColor="text1"/>
        </w:rPr>
        <w:t>漂水率不</w:t>
      </w:r>
      <w:proofErr w:type="gramEnd"/>
      <w:r w:rsidRPr="003430E1">
        <w:rPr>
          <w:color w:val="000000" w:themeColor="text1"/>
        </w:rPr>
        <w:t>高于0.005%，民用冷却塔</w:t>
      </w:r>
      <w:proofErr w:type="gramStart"/>
      <w:r w:rsidRPr="003430E1">
        <w:rPr>
          <w:color w:val="000000" w:themeColor="text1"/>
        </w:rPr>
        <w:t>漂水率不</w:t>
      </w:r>
      <w:proofErr w:type="gramEnd"/>
      <w:r w:rsidRPr="003430E1">
        <w:rPr>
          <w:color w:val="000000" w:themeColor="text1"/>
        </w:rPr>
        <w:t>高于0.01%，节水效率提升10%以上。</w:t>
      </w:r>
    </w:p>
    <w:p w:rsidR="003430E1" w:rsidRPr="003430E1" w:rsidRDefault="003430E1" w:rsidP="003430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3430E1">
        <w:rPr>
          <w:color w:val="000000" w:themeColor="text1"/>
        </w:rPr>
        <w:t>四、安全应急装备。《指南》指出，以提升工业企业本质安全水平为重点，按照统筹指导工业和信息化领域安全应急科技成果推广、指导重点行业排查治理隐患的要求，在石化化工、钢铁、船舶、轻工、有色、锂电池、汽车、工程机械、建材等生产安全事故易发多发行业，聚焦安全应急监测预警、工业消防系统与装备、安全应急智能化装备、先进个体防护装备等四大类装备实施设备更新计划。到2027年，使上述行业领域企业本质安全水平有显著提高，工业企业综合安全风险监测能力、应急事件处突能力、关键岗位智能化水平与人员安全保障能力有明显提升。</w:t>
      </w:r>
    </w:p>
    <w:p w:rsidR="00502B4A" w:rsidRPr="003430E1" w:rsidRDefault="00502B4A" w:rsidP="003430E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502B4A" w:rsidRPr="0034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E6"/>
    <w:rsid w:val="001101E6"/>
    <w:rsid w:val="003430E1"/>
    <w:rsid w:val="00502B4A"/>
    <w:rsid w:val="00820BE3"/>
    <w:rsid w:val="00D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30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30E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3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3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30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30E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3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42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1231</Words>
  <Characters>7018</Characters>
  <Application>Microsoft Office Word</Application>
  <DocSecurity>0</DocSecurity>
  <Lines>58</Lines>
  <Paragraphs>16</Paragraphs>
  <ScaleCrop>false</ScaleCrop>
  <Company>Organization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2024-09-23T08:55:00Z</dcterms:created>
  <dcterms:modified xsi:type="dcterms:W3CDTF">2024-09-23T09:12:00Z</dcterms:modified>
</cp:coreProperties>
</file>