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91" w:rsidRPr="002D7991" w:rsidRDefault="002D7991" w:rsidP="002D7991">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2D7991">
        <w:rPr>
          <w:rFonts w:ascii="黑体" w:eastAsia="黑体" w:hAnsi="黑体" w:cs="宋体" w:hint="eastAsia"/>
          <w:b/>
          <w:bCs/>
          <w:color w:val="000000" w:themeColor="text1"/>
          <w:kern w:val="36"/>
          <w:sz w:val="28"/>
          <w:szCs w:val="28"/>
        </w:rPr>
        <w:t>如何科学合理的选择示波器探头</w:t>
      </w:r>
      <w:bookmarkEnd w:id="0"/>
    </w:p>
    <w:p w:rsidR="002D7991" w:rsidRPr="002D7991" w:rsidRDefault="002D7991" w:rsidP="002D7991">
      <w:pPr>
        <w:widowControl/>
        <w:shd w:val="clear" w:color="auto" w:fill="FFFFFF"/>
        <w:spacing w:line="360" w:lineRule="auto"/>
        <w:jc w:val="center"/>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来源：海洋仪器</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示波器探头，作为连接被测信号与示波器之间不可或缺的桥梁，承担着将电压或电流信号精准传输至示波器进行深度分析的重任。其核心技术参数不仅定义了探头的性能边界，也直接关乎测量结果的准确性和可靠性。示波器探头的主要参数有：探头带宽/上升时间、衰减比、负载特性、最大输入电压/电流。</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一、探头的主要指标</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1.带宽与上升时间</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带宽：用户对仪器/探头系统理想的-3dB衰减最高频率。大多数探头，带宽与上升时间的乘积接近0.35(0.35=BW.T上升)。通常情况下，为了精确地定义这些参数，源阻抗规定终端接50W 的系统，带宽由脉冲上升时间定义来保证最小失真，对探头输入电容从10%至90%电平充电需要的时间</w:t>
      </w:r>
      <w:proofErr w:type="spellStart"/>
      <w:r w:rsidRPr="002D7991">
        <w:rPr>
          <w:rFonts w:ascii="宋体" w:eastAsia="宋体" w:hAnsi="宋体" w:cs="宋体"/>
          <w:color w:val="000000" w:themeColor="text1"/>
          <w:kern w:val="0"/>
          <w:sz w:val="24"/>
          <w:szCs w:val="24"/>
        </w:rPr>
        <w:t>Tr</w:t>
      </w:r>
      <w:proofErr w:type="spellEnd"/>
      <w:r w:rsidRPr="002D7991">
        <w:rPr>
          <w:rFonts w:ascii="宋体" w:eastAsia="宋体" w:hAnsi="宋体" w:cs="宋体"/>
          <w:color w:val="000000" w:themeColor="text1"/>
          <w:kern w:val="0"/>
          <w:sz w:val="24"/>
          <w:szCs w:val="24"/>
        </w:rPr>
        <w:t>=2.2*R源*C探头。</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2.负载效应</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探头的负载效应主要是由其输入电阻和电容反映。在低频(≤1MHz)时，探头的负载主要是阻抗作用；在高频时(≥10MHz)，探头的负载主要是容抗作用，图1表明探头频率与阻抗变化曲线。</w:t>
      </w:r>
    </w:p>
    <w:p w:rsidR="002D7991" w:rsidRPr="002D7991" w:rsidRDefault="002D7991" w:rsidP="002D7991">
      <w:pPr>
        <w:widowControl/>
        <w:shd w:val="clear" w:color="auto" w:fill="FFFFFF"/>
        <w:spacing w:line="360" w:lineRule="auto"/>
        <w:jc w:val="center"/>
        <w:rPr>
          <w:rFonts w:ascii="宋体" w:eastAsia="宋体" w:hAnsi="宋体" w:cs="宋体"/>
          <w:color w:val="000000" w:themeColor="text1"/>
          <w:kern w:val="0"/>
          <w:sz w:val="24"/>
          <w:szCs w:val="24"/>
        </w:rPr>
      </w:pPr>
      <w:r w:rsidRPr="002D7991">
        <w:rPr>
          <w:rFonts w:ascii="宋体" w:eastAsia="宋体" w:hAnsi="宋体" w:cs="宋体" w:hint="eastAsia"/>
          <w:noProof/>
          <w:color w:val="000000" w:themeColor="text1"/>
          <w:kern w:val="0"/>
          <w:sz w:val="24"/>
          <w:szCs w:val="24"/>
        </w:rPr>
        <w:drawing>
          <wp:inline distT="0" distB="0" distL="0" distR="0" wp14:anchorId="7D92C426" wp14:editId="027BEA22">
            <wp:extent cx="4746928" cy="1632856"/>
            <wp:effectExtent l="0" t="0" r="0" b="5715"/>
            <wp:docPr id="3" name="图片 3" descr="https://www.861718.com/member/kindeditor/attached/image/20241014/20241014104054_56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1014/20241014104054_566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6875" cy="1632838"/>
                    </a:xfrm>
                    <a:prstGeom prst="rect">
                      <a:avLst/>
                    </a:prstGeom>
                    <a:noFill/>
                    <a:ln>
                      <a:noFill/>
                    </a:ln>
                  </pic:spPr>
                </pic:pic>
              </a:graphicData>
            </a:graphic>
          </wp:inline>
        </w:drawing>
      </w:r>
    </w:p>
    <w:p w:rsidR="002D7991" w:rsidRPr="002D7991" w:rsidRDefault="002D7991" w:rsidP="002D7991">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图1 探头频率与阻抗变化曲线</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3. 衰减</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衰减比是输出信号对输入信号的比值，当正确接上终端时，探头应有恒定的衰减比，并在整个频率带范围内保持不变。</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4.补偿范围</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探头的输入电容决定了探头的高频特性和在额定衰减比下输入电容的补偿范围，调节输入电容使探头具有平滑下降的频率特性和规定的衰减比，由于不同</w:t>
      </w:r>
      <w:r w:rsidRPr="002D7991">
        <w:rPr>
          <w:rFonts w:ascii="宋体" w:eastAsia="宋体" w:hAnsi="宋体" w:cs="宋体"/>
          <w:color w:val="000000" w:themeColor="text1"/>
          <w:kern w:val="0"/>
          <w:sz w:val="24"/>
          <w:szCs w:val="24"/>
        </w:rPr>
        <w:lastRenderedPageBreak/>
        <w:t>的仪器输入电容有一定的差异，因此探头的输入电容具有一定的调节范围。详见图2探头补偿问题(C1与R2C2/R1的关系)。</w:t>
      </w:r>
    </w:p>
    <w:p w:rsidR="002D7991" w:rsidRPr="002D7991" w:rsidRDefault="002D7991" w:rsidP="002D7991">
      <w:pPr>
        <w:widowControl/>
        <w:shd w:val="clear" w:color="auto" w:fill="FFFFFF"/>
        <w:spacing w:line="360" w:lineRule="auto"/>
        <w:jc w:val="center"/>
        <w:rPr>
          <w:rFonts w:ascii="宋体" w:eastAsia="宋体" w:hAnsi="宋体" w:cs="宋体"/>
          <w:color w:val="000000" w:themeColor="text1"/>
          <w:kern w:val="0"/>
          <w:sz w:val="24"/>
          <w:szCs w:val="24"/>
        </w:rPr>
      </w:pPr>
      <w:r w:rsidRPr="002D7991">
        <w:rPr>
          <w:rFonts w:ascii="宋体" w:eastAsia="宋体" w:hAnsi="宋体" w:cs="宋体" w:hint="eastAsia"/>
          <w:noProof/>
          <w:color w:val="000000" w:themeColor="text1"/>
          <w:kern w:val="0"/>
          <w:sz w:val="24"/>
          <w:szCs w:val="24"/>
        </w:rPr>
        <w:drawing>
          <wp:inline distT="0" distB="0" distL="0" distR="0" wp14:anchorId="6246A1EC" wp14:editId="4ABEB925">
            <wp:extent cx="4810540" cy="1469178"/>
            <wp:effectExtent l="0" t="0" r="0" b="0"/>
            <wp:docPr id="2" name="图片 2" descr="https://www.861718.com/member/kindeditor/attached/image/20241014/20241014104103_94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1014/20241014104103_941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1145" cy="1469363"/>
                    </a:xfrm>
                    <a:prstGeom prst="rect">
                      <a:avLst/>
                    </a:prstGeom>
                    <a:noFill/>
                    <a:ln>
                      <a:noFill/>
                    </a:ln>
                  </pic:spPr>
                </pic:pic>
              </a:graphicData>
            </a:graphic>
          </wp:inline>
        </w:drawing>
      </w:r>
    </w:p>
    <w:p w:rsidR="002D7991" w:rsidRPr="002D7991" w:rsidRDefault="002D7991" w:rsidP="002D7991">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图2 探头补偿</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5.电压</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探头测试最大电压(DC+峰值AC)是探头的上限电压范围；同时对高频探头，电压的额定值也会随频率的增加而降低。</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6.探头长度</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保持探头电缆长度尽可能短。因为过长的长度降低带宽和增加探头的负载电容；较长的探头电缆也有较大的传输延迟(无源探头一般为每米4ns)。</w:t>
      </w: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7.探头测试尖端附件</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各种各样的适配器可以将探头用机械的方法连接到被测电路上，探头测试尖端一般导通很小的电流，在较低的电流电压下有高电阻，如果采用全合金镀层使电流传导问题减至最小。</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2D7991" w:rsidRPr="002D7991" w:rsidRDefault="002D7991" w:rsidP="002D7991">
      <w:pPr>
        <w:widowControl/>
        <w:shd w:val="clear" w:color="auto" w:fill="FFFFFF"/>
        <w:spacing w:line="360" w:lineRule="auto"/>
        <w:jc w:val="center"/>
        <w:rPr>
          <w:rFonts w:ascii="宋体" w:eastAsia="宋体" w:hAnsi="宋体" w:cs="宋体"/>
          <w:color w:val="000000" w:themeColor="text1"/>
          <w:kern w:val="0"/>
          <w:sz w:val="24"/>
          <w:szCs w:val="24"/>
        </w:rPr>
      </w:pPr>
      <w:r w:rsidRPr="002D7991">
        <w:rPr>
          <w:rFonts w:ascii="宋体" w:eastAsia="宋体" w:hAnsi="宋体" w:cs="宋体" w:hint="eastAsia"/>
          <w:noProof/>
          <w:color w:val="000000" w:themeColor="text1"/>
          <w:kern w:val="0"/>
          <w:sz w:val="24"/>
          <w:szCs w:val="24"/>
        </w:rPr>
        <w:drawing>
          <wp:inline distT="0" distB="0" distL="0" distR="0" wp14:anchorId="18E03139" wp14:editId="6BCD0663">
            <wp:extent cx="4540195" cy="2724008"/>
            <wp:effectExtent l="0" t="0" r="0" b="635"/>
            <wp:docPr id="1" name="图片 1" descr="https://www.861718.com/member/kindeditor/attached/image/20241014/20241014104117_34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member/kindeditor/attached/image/20241014/20241014104117_346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0219" cy="2724022"/>
                    </a:xfrm>
                    <a:prstGeom prst="rect">
                      <a:avLst/>
                    </a:prstGeom>
                    <a:noFill/>
                    <a:ln>
                      <a:noFill/>
                    </a:ln>
                  </pic:spPr>
                </pic:pic>
              </a:graphicData>
            </a:graphic>
          </wp:inline>
        </w:drawing>
      </w:r>
    </w:p>
    <w:p w:rsidR="002D7991" w:rsidRDefault="002D7991" w:rsidP="002D7991">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p>
    <w:p w:rsidR="002D7991" w:rsidRPr="002D7991" w:rsidRDefault="002D7991" w:rsidP="002D799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D7991">
        <w:rPr>
          <w:rFonts w:ascii="宋体" w:eastAsia="宋体" w:hAnsi="宋体" w:cs="宋体"/>
          <w:b/>
          <w:bCs/>
          <w:color w:val="000000" w:themeColor="text1"/>
          <w:kern w:val="0"/>
          <w:sz w:val="24"/>
          <w:szCs w:val="24"/>
        </w:rPr>
        <w:t>8.电流</w:t>
      </w:r>
    </w:p>
    <w:p w:rsidR="002D7991" w:rsidRDefault="002D7991" w:rsidP="002D7991">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2D7991">
        <w:rPr>
          <w:rFonts w:ascii="宋体" w:eastAsia="宋体" w:hAnsi="宋体" w:cs="宋体"/>
          <w:color w:val="000000" w:themeColor="text1"/>
          <w:kern w:val="0"/>
          <w:sz w:val="24"/>
          <w:szCs w:val="24"/>
        </w:rPr>
        <w:t>分二种指标：连续最小电流、脉冲最大电流。在脉冲最大电流范围内，可以无失真测量由安培秒(A/S)乘积限定的最大值。</w:t>
      </w:r>
    </w:p>
    <w:p w:rsidR="002D7991" w:rsidRPr="002D7991" w:rsidRDefault="002D7991" w:rsidP="002D799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D7991">
        <w:rPr>
          <w:rFonts w:ascii="宋体" w:eastAsia="宋体" w:hAnsi="宋体" w:cs="宋体"/>
          <w:color w:val="000000" w:themeColor="text1"/>
          <w:kern w:val="0"/>
          <w:sz w:val="24"/>
          <w:szCs w:val="24"/>
        </w:rPr>
        <w:t>在电子测试领域，北京海洋兴业科技股份有限公司是行业领先的综合服务商，可提供电子测试测量仪器仪表的销售、系统集成、技术开发和维修维护在内的4S综合服务。公司客户主要为大中专院校、国防军工、科研单位、电子制造相关企业，公司产品和服务广泛应用于通讯、信息技术、电气及工业过程控制等领域。</w:t>
      </w:r>
    </w:p>
    <w:p w:rsidR="000F104B" w:rsidRPr="002D7991" w:rsidRDefault="000F104B" w:rsidP="002D7991">
      <w:pPr>
        <w:spacing w:line="360" w:lineRule="auto"/>
        <w:ind w:firstLineChars="200" w:firstLine="480"/>
        <w:rPr>
          <w:rFonts w:ascii="宋体" w:eastAsia="宋体" w:hAnsi="宋体"/>
          <w:color w:val="000000" w:themeColor="text1"/>
          <w:sz w:val="24"/>
          <w:szCs w:val="24"/>
        </w:rPr>
      </w:pPr>
    </w:p>
    <w:sectPr w:rsidR="000F104B" w:rsidRPr="002D7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5F"/>
    <w:rsid w:val="000F104B"/>
    <w:rsid w:val="002D7991"/>
    <w:rsid w:val="00B1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D79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7991"/>
    <w:rPr>
      <w:rFonts w:ascii="宋体" w:eastAsia="宋体" w:hAnsi="宋体" w:cs="宋体"/>
      <w:b/>
      <w:bCs/>
      <w:kern w:val="36"/>
      <w:sz w:val="48"/>
      <w:szCs w:val="48"/>
    </w:rPr>
  </w:style>
  <w:style w:type="paragraph" w:styleId="a3">
    <w:name w:val="Normal (Web)"/>
    <w:basedOn w:val="a"/>
    <w:uiPriority w:val="99"/>
    <w:semiHidden/>
    <w:unhideWhenUsed/>
    <w:rsid w:val="002D79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7991"/>
    <w:rPr>
      <w:b/>
      <w:bCs/>
    </w:rPr>
  </w:style>
  <w:style w:type="paragraph" w:styleId="a5">
    <w:name w:val="Balloon Text"/>
    <w:basedOn w:val="a"/>
    <w:link w:val="Char"/>
    <w:uiPriority w:val="99"/>
    <w:semiHidden/>
    <w:unhideWhenUsed/>
    <w:rsid w:val="002D7991"/>
    <w:rPr>
      <w:sz w:val="18"/>
      <w:szCs w:val="18"/>
    </w:rPr>
  </w:style>
  <w:style w:type="character" w:customStyle="1" w:styleId="Char">
    <w:name w:val="批注框文本 Char"/>
    <w:basedOn w:val="a0"/>
    <w:link w:val="a5"/>
    <w:uiPriority w:val="99"/>
    <w:semiHidden/>
    <w:rsid w:val="002D7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D79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7991"/>
    <w:rPr>
      <w:rFonts w:ascii="宋体" w:eastAsia="宋体" w:hAnsi="宋体" w:cs="宋体"/>
      <w:b/>
      <w:bCs/>
      <w:kern w:val="36"/>
      <w:sz w:val="48"/>
      <w:szCs w:val="48"/>
    </w:rPr>
  </w:style>
  <w:style w:type="paragraph" w:styleId="a3">
    <w:name w:val="Normal (Web)"/>
    <w:basedOn w:val="a"/>
    <w:uiPriority w:val="99"/>
    <w:semiHidden/>
    <w:unhideWhenUsed/>
    <w:rsid w:val="002D79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7991"/>
    <w:rPr>
      <w:b/>
      <w:bCs/>
    </w:rPr>
  </w:style>
  <w:style w:type="paragraph" w:styleId="a5">
    <w:name w:val="Balloon Text"/>
    <w:basedOn w:val="a"/>
    <w:link w:val="Char"/>
    <w:uiPriority w:val="99"/>
    <w:semiHidden/>
    <w:unhideWhenUsed/>
    <w:rsid w:val="002D7991"/>
    <w:rPr>
      <w:sz w:val="18"/>
      <w:szCs w:val="18"/>
    </w:rPr>
  </w:style>
  <w:style w:type="character" w:customStyle="1" w:styleId="Char">
    <w:name w:val="批注框文本 Char"/>
    <w:basedOn w:val="a0"/>
    <w:link w:val="a5"/>
    <w:uiPriority w:val="99"/>
    <w:semiHidden/>
    <w:rsid w:val="002D7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11006">
      <w:bodyDiv w:val="1"/>
      <w:marLeft w:val="0"/>
      <w:marRight w:val="0"/>
      <w:marTop w:val="0"/>
      <w:marBottom w:val="0"/>
      <w:divBdr>
        <w:top w:val="none" w:sz="0" w:space="0" w:color="auto"/>
        <w:left w:val="none" w:sz="0" w:space="0" w:color="auto"/>
        <w:bottom w:val="none" w:sz="0" w:space="0" w:color="auto"/>
        <w:right w:val="none" w:sz="0" w:space="0" w:color="auto"/>
      </w:divBdr>
      <w:divsChild>
        <w:div w:id="978341291">
          <w:marLeft w:val="0"/>
          <w:marRight w:val="0"/>
          <w:marTop w:val="165"/>
          <w:marBottom w:val="0"/>
          <w:divBdr>
            <w:top w:val="none" w:sz="0" w:space="0" w:color="auto"/>
            <w:left w:val="none" w:sz="0" w:space="0" w:color="auto"/>
            <w:bottom w:val="none" w:sz="0" w:space="0" w:color="auto"/>
            <w:right w:val="none" w:sz="0" w:space="0" w:color="auto"/>
          </w:divBdr>
        </w:div>
        <w:div w:id="1995521228">
          <w:marLeft w:val="0"/>
          <w:marRight w:val="0"/>
          <w:marTop w:val="0"/>
          <w:marBottom w:val="0"/>
          <w:divBdr>
            <w:top w:val="none" w:sz="0" w:space="0" w:color="auto"/>
            <w:left w:val="none" w:sz="0" w:space="0" w:color="auto"/>
            <w:bottom w:val="none" w:sz="0" w:space="0" w:color="auto"/>
            <w:right w:val="none" w:sz="0" w:space="0" w:color="auto"/>
          </w:divBdr>
          <w:divsChild>
            <w:div w:id="461390972">
              <w:marLeft w:val="0"/>
              <w:marRight w:val="0"/>
              <w:marTop w:val="0"/>
              <w:marBottom w:val="0"/>
              <w:divBdr>
                <w:top w:val="none" w:sz="0" w:space="0" w:color="auto"/>
                <w:left w:val="none" w:sz="0" w:space="0" w:color="auto"/>
                <w:bottom w:val="none" w:sz="0" w:space="0" w:color="auto"/>
                <w:right w:val="none" w:sz="0" w:space="0" w:color="auto"/>
              </w:divBdr>
              <w:divsChild>
                <w:div w:id="11874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9619">
          <w:marLeft w:val="0"/>
          <w:marRight w:val="0"/>
          <w:marTop w:val="0"/>
          <w:marBottom w:val="0"/>
          <w:divBdr>
            <w:top w:val="none" w:sz="0" w:space="0" w:color="auto"/>
            <w:left w:val="none" w:sz="0" w:space="0" w:color="auto"/>
            <w:bottom w:val="none" w:sz="0" w:space="0" w:color="auto"/>
            <w:right w:val="none" w:sz="0" w:space="0" w:color="auto"/>
          </w:divBdr>
          <w:divsChild>
            <w:div w:id="19155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161</Words>
  <Characters>924</Characters>
  <Application>Microsoft Office Word</Application>
  <DocSecurity>0</DocSecurity>
  <Lines>7</Lines>
  <Paragraphs>2</Paragraphs>
  <ScaleCrop>false</ScaleCrop>
  <Company>Organization</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2024-10-15T03:19:00Z</dcterms:created>
  <dcterms:modified xsi:type="dcterms:W3CDTF">2024-10-15T03:23:00Z</dcterms:modified>
</cp:coreProperties>
</file>