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EE9" w:rsidRPr="00F06EE9" w:rsidRDefault="00F06EE9" w:rsidP="00F06EE9">
      <w:pPr>
        <w:widowControl/>
        <w:shd w:val="clear" w:color="auto" w:fill="FFFFFF"/>
        <w:spacing w:line="360" w:lineRule="auto"/>
        <w:jc w:val="center"/>
        <w:outlineLvl w:val="0"/>
        <w:rPr>
          <w:rFonts w:ascii="黑体" w:eastAsia="黑体" w:hAnsi="黑体" w:cs="宋体"/>
          <w:b/>
          <w:bCs/>
          <w:color w:val="000000" w:themeColor="text1"/>
          <w:kern w:val="36"/>
          <w:sz w:val="28"/>
          <w:szCs w:val="28"/>
        </w:rPr>
      </w:pPr>
      <w:bookmarkStart w:id="0" w:name="_GoBack"/>
      <w:proofErr w:type="gramStart"/>
      <w:r>
        <w:rPr>
          <w:rFonts w:ascii="黑体" w:eastAsia="黑体" w:hAnsi="黑体" w:cs="宋体" w:hint="eastAsia"/>
          <w:b/>
          <w:bCs/>
          <w:color w:val="000000" w:themeColor="text1"/>
          <w:kern w:val="36"/>
          <w:sz w:val="28"/>
          <w:szCs w:val="28"/>
        </w:rPr>
        <w:t>鼎阳科技</w:t>
      </w:r>
      <w:proofErr w:type="gramEnd"/>
      <w:r w:rsidRPr="00F06EE9">
        <w:rPr>
          <w:rFonts w:ascii="黑体" w:eastAsia="黑体" w:hAnsi="黑体" w:cs="宋体" w:hint="eastAsia"/>
          <w:b/>
          <w:bCs/>
          <w:color w:val="000000" w:themeColor="text1"/>
          <w:kern w:val="36"/>
          <w:sz w:val="28"/>
          <w:szCs w:val="28"/>
        </w:rPr>
        <w:t>高分辨率数字示波器等核心产品营业收入持续增长</w:t>
      </w:r>
      <w:bookmarkEnd w:id="0"/>
    </w:p>
    <w:p w:rsidR="00F06EE9" w:rsidRPr="00F06EE9" w:rsidRDefault="00F06EE9" w:rsidP="00F06EE9">
      <w:pPr>
        <w:widowControl/>
        <w:shd w:val="clear" w:color="auto" w:fill="FFFFFF"/>
        <w:spacing w:line="360" w:lineRule="auto"/>
        <w:jc w:val="center"/>
        <w:rPr>
          <w:rFonts w:ascii="宋体" w:eastAsia="宋体" w:hAnsi="宋体" w:cs="宋体"/>
          <w:color w:val="000000" w:themeColor="text1"/>
          <w:kern w:val="0"/>
          <w:sz w:val="24"/>
          <w:szCs w:val="24"/>
        </w:rPr>
      </w:pPr>
      <w:r w:rsidRPr="00F06EE9">
        <w:rPr>
          <w:rFonts w:ascii="宋体" w:eastAsia="宋体" w:hAnsi="宋体" w:cs="宋体"/>
          <w:color w:val="000000" w:themeColor="text1"/>
          <w:kern w:val="0"/>
          <w:sz w:val="24"/>
          <w:szCs w:val="24"/>
        </w:rPr>
        <w:t>来源：</w:t>
      </w:r>
      <w:proofErr w:type="gramStart"/>
      <w:r w:rsidRPr="00F06EE9">
        <w:rPr>
          <w:rFonts w:ascii="宋体" w:eastAsia="宋体" w:hAnsi="宋体" w:cs="宋体"/>
          <w:color w:val="000000" w:themeColor="text1"/>
          <w:kern w:val="0"/>
          <w:sz w:val="24"/>
          <w:szCs w:val="24"/>
        </w:rPr>
        <w:t>仪商网</w:t>
      </w:r>
      <w:proofErr w:type="gramEnd"/>
      <w:r w:rsidRPr="00F06EE9">
        <w:rPr>
          <w:rFonts w:ascii="宋体" w:eastAsia="宋体" w:hAnsi="宋体" w:cs="宋体"/>
          <w:color w:val="000000" w:themeColor="text1"/>
          <w:kern w:val="0"/>
          <w:sz w:val="24"/>
          <w:szCs w:val="24"/>
        </w:rPr>
        <w:t>综合</w:t>
      </w:r>
    </w:p>
    <w:p w:rsidR="00F06EE9" w:rsidRPr="00F06EE9" w:rsidRDefault="00F06EE9" w:rsidP="00F06EE9">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06EE9">
        <w:rPr>
          <w:rFonts w:ascii="宋体" w:eastAsia="宋体" w:hAnsi="宋体" w:cs="宋体"/>
          <w:color w:val="000000" w:themeColor="text1"/>
          <w:kern w:val="0"/>
          <w:sz w:val="24"/>
          <w:szCs w:val="24"/>
        </w:rPr>
        <w:t>2024 年 10 月 17 日，</w:t>
      </w:r>
      <w:proofErr w:type="gramStart"/>
      <w:r w:rsidRPr="00F06EE9">
        <w:rPr>
          <w:rFonts w:ascii="宋体" w:eastAsia="宋体" w:hAnsi="宋体" w:cs="宋体"/>
          <w:color w:val="000000" w:themeColor="text1"/>
          <w:kern w:val="0"/>
          <w:sz w:val="24"/>
          <w:szCs w:val="24"/>
        </w:rPr>
        <w:t>鼎阳科技</w:t>
      </w:r>
      <w:proofErr w:type="gramEnd"/>
      <w:r w:rsidRPr="00F06EE9">
        <w:rPr>
          <w:rFonts w:ascii="宋体" w:eastAsia="宋体" w:hAnsi="宋体" w:cs="宋体"/>
          <w:color w:val="000000" w:themeColor="text1"/>
          <w:kern w:val="0"/>
          <w:sz w:val="24"/>
          <w:szCs w:val="24"/>
        </w:rPr>
        <w:t>（688112）发布公告称，公司于 2024 年 10 月 16 日召开业绩说明会。</w:t>
      </w:r>
    </w:p>
    <w:p w:rsidR="00F06EE9" w:rsidRPr="00F06EE9" w:rsidRDefault="00F06EE9" w:rsidP="00F06EE9">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06EE9">
        <w:rPr>
          <w:rFonts w:ascii="宋体" w:eastAsia="宋体" w:hAnsi="宋体" w:cs="宋体"/>
          <w:color w:val="000000" w:themeColor="text1"/>
          <w:kern w:val="0"/>
          <w:sz w:val="24"/>
          <w:szCs w:val="24"/>
        </w:rPr>
        <w:t>具体内容如下：</w:t>
      </w:r>
    </w:p>
    <w:p w:rsidR="00F06EE9" w:rsidRPr="00F06EE9" w:rsidRDefault="00F06EE9" w:rsidP="00F06EE9">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06EE9">
        <w:rPr>
          <w:rFonts w:ascii="宋体" w:eastAsia="宋体" w:hAnsi="宋体" w:cs="宋体"/>
          <w:color w:val="000000" w:themeColor="text1"/>
          <w:kern w:val="0"/>
          <w:sz w:val="24"/>
          <w:szCs w:val="24"/>
        </w:rPr>
        <w:t>问：请简要介绍</w:t>
      </w:r>
      <w:proofErr w:type="gramStart"/>
      <w:r w:rsidRPr="00F06EE9">
        <w:rPr>
          <w:rFonts w:ascii="宋体" w:eastAsia="宋体" w:hAnsi="宋体" w:cs="宋体"/>
          <w:color w:val="000000" w:themeColor="text1"/>
          <w:kern w:val="0"/>
          <w:sz w:val="24"/>
          <w:szCs w:val="24"/>
        </w:rPr>
        <w:t>下近期</w:t>
      </w:r>
      <w:proofErr w:type="gramEnd"/>
      <w:r w:rsidRPr="00F06EE9">
        <w:rPr>
          <w:rFonts w:ascii="宋体" w:eastAsia="宋体" w:hAnsi="宋体" w:cs="宋体"/>
          <w:color w:val="000000" w:themeColor="text1"/>
          <w:kern w:val="0"/>
          <w:sz w:val="24"/>
          <w:szCs w:val="24"/>
        </w:rPr>
        <w:t>业绩</w:t>
      </w:r>
    </w:p>
    <w:p w:rsidR="00F06EE9" w:rsidRPr="00F06EE9" w:rsidRDefault="00F06EE9" w:rsidP="00F06EE9">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F06EE9">
        <w:rPr>
          <w:rFonts w:ascii="宋体" w:eastAsia="宋体" w:hAnsi="宋体" w:cs="宋体"/>
          <w:b/>
          <w:bCs/>
          <w:color w:val="000000" w:themeColor="text1"/>
          <w:kern w:val="0"/>
          <w:sz w:val="24"/>
          <w:szCs w:val="24"/>
        </w:rPr>
        <w:t>答：</w:t>
      </w:r>
      <w:r w:rsidRPr="00F06EE9">
        <w:rPr>
          <w:rFonts w:ascii="宋体" w:eastAsia="宋体" w:hAnsi="宋体" w:cs="宋体"/>
          <w:color w:val="000000" w:themeColor="text1"/>
          <w:kern w:val="0"/>
          <w:sz w:val="24"/>
          <w:szCs w:val="24"/>
        </w:rPr>
        <w:t xml:space="preserve">尊敬的投资者，您好！2024 年上半年，公司实现营业收入 22,374.98 万元，实现归属于上市公司股东的净利润 5,844.26 万元，实现归属于上市公司股东的扣除非经常性损益后净利润 5,644.04 万元。2024 年上半年公司盈利能力持续加强，毛利率提升至 62.00%，同比提升 1.04 </w:t>
      </w:r>
      <w:proofErr w:type="gramStart"/>
      <w:r w:rsidRPr="00F06EE9">
        <w:rPr>
          <w:rFonts w:ascii="宋体" w:eastAsia="宋体" w:hAnsi="宋体" w:cs="宋体"/>
          <w:color w:val="000000" w:themeColor="text1"/>
          <w:kern w:val="0"/>
          <w:sz w:val="24"/>
          <w:szCs w:val="24"/>
        </w:rPr>
        <w:t>个</w:t>
      </w:r>
      <w:proofErr w:type="gramEnd"/>
      <w:r w:rsidRPr="00F06EE9">
        <w:rPr>
          <w:rFonts w:ascii="宋体" w:eastAsia="宋体" w:hAnsi="宋体" w:cs="宋体"/>
          <w:color w:val="000000" w:themeColor="text1"/>
          <w:kern w:val="0"/>
          <w:sz w:val="24"/>
          <w:szCs w:val="24"/>
        </w:rPr>
        <w:t>百分点。从产品档次上来看，公司高端产品继续保持较好的增长趋势，产品结构不断优化。公司高端产品占</w:t>
      </w:r>
      <w:proofErr w:type="gramStart"/>
      <w:r w:rsidRPr="00F06EE9">
        <w:rPr>
          <w:rFonts w:ascii="宋体" w:eastAsia="宋体" w:hAnsi="宋体" w:cs="宋体"/>
          <w:color w:val="000000" w:themeColor="text1"/>
          <w:kern w:val="0"/>
          <w:sz w:val="24"/>
          <w:szCs w:val="24"/>
        </w:rPr>
        <w:t>比持续</w:t>
      </w:r>
      <w:proofErr w:type="gramEnd"/>
      <w:r w:rsidRPr="00F06EE9">
        <w:rPr>
          <w:rFonts w:ascii="宋体" w:eastAsia="宋体" w:hAnsi="宋体" w:cs="宋体"/>
          <w:color w:val="000000" w:themeColor="text1"/>
          <w:kern w:val="0"/>
          <w:sz w:val="24"/>
          <w:szCs w:val="24"/>
        </w:rPr>
        <w:t>保持在 20% 以上，</w:t>
      </w:r>
      <w:proofErr w:type="gramStart"/>
      <w:r w:rsidRPr="00F06EE9">
        <w:rPr>
          <w:rFonts w:ascii="宋体" w:eastAsia="宋体" w:hAnsi="宋体" w:cs="宋体"/>
          <w:color w:val="000000" w:themeColor="text1"/>
          <w:kern w:val="0"/>
          <w:sz w:val="24"/>
          <w:szCs w:val="24"/>
        </w:rPr>
        <w:t>拉动四</w:t>
      </w:r>
      <w:proofErr w:type="gramEnd"/>
      <w:r w:rsidRPr="00F06EE9">
        <w:rPr>
          <w:rFonts w:ascii="宋体" w:eastAsia="宋体" w:hAnsi="宋体" w:cs="宋体"/>
          <w:color w:val="000000" w:themeColor="text1"/>
          <w:kern w:val="0"/>
          <w:sz w:val="24"/>
          <w:szCs w:val="24"/>
        </w:rPr>
        <w:t>大主力产品平均单价同比提升 8.30%。从产品的销售单价上看，销售单价 5 万以上的产品，销售额同比增长 36.07%，销售单价 3 万以上的产品，销售额同比增长 15.71%。售价越高的产品，增长越快，充分体现了公司高端化战略的成效。从产品品类上来看，</w:t>
      </w:r>
      <w:r w:rsidRPr="00F06EE9">
        <w:rPr>
          <w:rFonts w:ascii="宋体" w:eastAsia="宋体" w:hAnsi="宋体" w:cs="宋体"/>
          <w:b/>
          <w:bCs/>
          <w:color w:val="000000" w:themeColor="text1"/>
          <w:kern w:val="0"/>
          <w:sz w:val="24"/>
          <w:szCs w:val="24"/>
        </w:rPr>
        <w:t>公司高分辨率数字示波器等核心产品营业收入持续增长</w:t>
      </w:r>
      <w:r w:rsidRPr="00F06EE9">
        <w:rPr>
          <w:rFonts w:ascii="宋体" w:eastAsia="宋体" w:hAnsi="宋体" w:cs="宋体"/>
          <w:color w:val="000000" w:themeColor="text1"/>
          <w:kern w:val="0"/>
          <w:sz w:val="24"/>
          <w:szCs w:val="24"/>
        </w:rPr>
        <w:t xml:space="preserve">。2024 年上半年公司高分辨率数字示波器产品境内收入同比增长 39.42%，业绩表现突出。此外，公司持续加大研发费用和销售费用的投入，为产品的迭代升级、品牌和渠道的建设奠定基础。2024 年上半年，公司研发投入达 4,393.12 万元，同比增长 30.55%，占营业收入的比例为 19.63%，同比提升 5.30 </w:t>
      </w:r>
      <w:proofErr w:type="gramStart"/>
      <w:r w:rsidRPr="00F06EE9">
        <w:rPr>
          <w:rFonts w:ascii="宋体" w:eastAsia="宋体" w:hAnsi="宋体" w:cs="宋体"/>
          <w:color w:val="000000" w:themeColor="text1"/>
          <w:kern w:val="0"/>
          <w:sz w:val="24"/>
          <w:szCs w:val="24"/>
        </w:rPr>
        <w:t>个</w:t>
      </w:r>
      <w:proofErr w:type="gramEnd"/>
      <w:r w:rsidRPr="00F06EE9">
        <w:rPr>
          <w:rFonts w:ascii="宋体" w:eastAsia="宋体" w:hAnsi="宋体" w:cs="宋体"/>
          <w:color w:val="000000" w:themeColor="text1"/>
          <w:kern w:val="0"/>
          <w:sz w:val="24"/>
          <w:szCs w:val="24"/>
        </w:rPr>
        <w:t xml:space="preserve">百分点；公司销售费用投入达 4,151.09 万元，同比增长 17.06%，占营业收入的比例为 18.55%，同比提升 3.45 </w:t>
      </w:r>
      <w:proofErr w:type="gramStart"/>
      <w:r w:rsidRPr="00F06EE9">
        <w:rPr>
          <w:rFonts w:ascii="宋体" w:eastAsia="宋体" w:hAnsi="宋体" w:cs="宋体"/>
          <w:color w:val="000000" w:themeColor="text1"/>
          <w:kern w:val="0"/>
          <w:sz w:val="24"/>
          <w:szCs w:val="24"/>
        </w:rPr>
        <w:t>个</w:t>
      </w:r>
      <w:proofErr w:type="gramEnd"/>
      <w:r w:rsidRPr="00F06EE9">
        <w:rPr>
          <w:rFonts w:ascii="宋体" w:eastAsia="宋体" w:hAnsi="宋体" w:cs="宋体"/>
          <w:color w:val="000000" w:themeColor="text1"/>
          <w:kern w:val="0"/>
          <w:sz w:val="24"/>
          <w:szCs w:val="24"/>
        </w:rPr>
        <w:t>百分点。公司持续加大了研发及营销方面的投入，为未来的发展打下了坚实的基础。希望以上复对您有帮助，谢谢！</w:t>
      </w:r>
    </w:p>
    <w:p w:rsidR="00F06EE9" w:rsidRPr="00F06EE9" w:rsidRDefault="00F06EE9" w:rsidP="00F06EE9">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06EE9">
        <w:rPr>
          <w:rFonts w:ascii="宋体" w:eastAsia="宋体" w:hAnsi="宋体" w:cs="宋体"/>
          <w:color w:val="000000" w:themeColor="text1"/>
          <w:kern w:val="0"/>
          <w:sz w:val="24"/>
          <w:szCs w:val="24"/>
        </w:rPr>
        <w:t>问：</w:t>
      </w:r>
      <w:proofErr w:type="gramStart"/>
      <w:r w:rsidRPr="00F06EE9">
        <w:rPr>
          <w:rFonts w:ascii="宋体" w:eastAsia="宋体" w:hAnsi="宋体" w:cs="宋体"/>
          <w:color w:val="000000" w:themeColor="text1"/>
          <w:kern w:val="0"/>
          <w:sz w:val="24"/>
          <w:szCs w:val="24"/>
        </w:rPr>
        <w:t>请目前</w:t>
      </w:r>
      <w:proofErr w:type="gramEnd"/>
      <w:r w:rsidRPr="00F06EE9">
        <w:rPr>
          <w:rFonts w:ascii="宋体" w:eastAsia="宋体" w:hAnsi="宋体" w:cs="宋体"/>
          <w:color w:val="000000" w:themeColor="text1"/>
          <w:kern w:val="0"/>
          <w:sz w:val="24"/>
          <w:szCs w:val="24"/>
        </w:rPr>
        <w:t>股东人数？</w:t>
      </w:r>
    </w:p>
    <w:p w:rsidR="00F06EE9" w:rsidRPr="00F06EE9" w:rsidRDefault="00F06EE9" w:rsidP="00F06EE9">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F06EE9">
        <w:rPr>
          <w:rFonts w:ascii="宋体" w:eastAsia="宋体" w:hAnsi="宋体" w:cs="宋体"/>
          <w:b/>
          <w:bCs/>
          <w:color w:val="000000" w:themeColor="text1"/>
          <w:kern w:val="0"/>
          <w:sz w:val="24"/>
          <w:szCs w:val="24"/>
        </w:rPr>
        <w:t>答：</w:t>
      </w:r>
      <w:r w:rsidRPr="00F06EE9">
        <w:rPr>
          <w:rFonts w:ascii="宋体" w:eastAsia="宋体" w:hAnsi="宋体" w:cs="宋体"/>
          <w:color w:val="000000" w:themeColor="text1"/>
          <w:kern w:val="0"/>
          <w:sz w:val="24"/>
          <w:szCs w:val="24"/>
        </w:rPr>
        <w:t>尊敬的投资者，您好！公司将在定期报告中披露报告期末的股东户数，敬请关注公司定期报告。希望以上复对您有帮助，谢谢！</w:t>
      </w:r>
    </w:p>
    <w:p w:rsidR="00F06EE9" w:rsidRPr="00F06EE9" w:rsidRDefault="00F06EE9" w:rsidP="00F06EE9">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06EE9">
        <w:rPr>
          <w:rFonts w:ascii="宋体" w:eastAsia="宋体" w:hAnsi="宋体" w:cs="宋体"/>
          <w:color w:val="000000" w:themeColor="text1"/>
          <w:kern w:val="0"/>
          <w:sz w:val="24"/>
          <w:szCs w:val="24"/>
        </w:rPr>
        <w:t>问：公司产品是用在什么产业的？</w:t>
      </w:r>
    </w:p>
    <w:p w:rsidR="00F06EE9" w:rsidRPr="00F06EE9" w:rsidRDefault="00F06EE9" w:rsidP="00F06EE9">
      <w:pPr>
        <w:widowControl/>
        <w:shd w:val="clear" w:color="auto" w:fill="FFFFFF"/>
        <w:spacing w:line="360" w:lineRule="auto"/>
        <w:ind w:firstLineChars="200" w:firstLine="482"/>
        <w:jc w:val="left"/>
        <w:rPr>
          <w:rFonts w:ascii="宋体" w:eastAsia="宋体" w:hAnsi="宋体" w:cs="宋体"/>
          <w:color w:val="000000" w:themeColor="text1"/>
          <w:kern w:val="0"/>
          <w:sz w:val="24"/>
          <w:szCs w:val="24"/>
        </w:rPr>
      </w:pPr>
      <w:r w:rsidRPr="00F06EE9">
        <w:rPr>
          <w:rFonts w:ascii="宋体" w:eastAsia="宋体" w:hAnsi="宋体" w:cs="宋体"/>
          <w:b/>
          <w:bCs/>
          <w:color w:val="000000" w:themeColor="text1"/>
          <w:kern w:val="0"/>
          <w:sz w:val="24"/>
          <w:szCs w:val="24"/>
        </w:rPr>
        <w:t>答：</w:t>
      </w:r>
      <w:r w:rsidRPr="00F06EE9">
        <w:rPr>
          <w:rFonts w:ascii="宋体" w:eastAsia="宋体" w:hAnsi="宋体" w:cs="宋体"/>
          <w:color w:val="000000" w:themeColor="text1"/>
          <w:kern w:val="0"/>
          <w:sz w:val="24"/>
          <w:szCs w:val="24"/>
        </w:rPr>
        <w:t>尊敬的投资者，您好！公司主要产品包括数字示波器、频谱分析仪、信号发生器、矢量网络分析仪等通用电子测试测量行业四大主力产品，以及可编程</w:t>
      </w:r>
      <w:r w:rsidRPr="00F06EE9">
        <w:rPr>
          <w:rFonts w:ascii="宋体" w:eastAsia="宋体" w:hAnsi="宋体" w:cs="宋体"/>
          <w:color w:val="000000" w:themeColor="text1"/>
          <w:kern w:val="0"/>
          <w:sz w:val="24"/>
          <w:szCs w:val="24"/>
        </w:rPr>
        <w:lastRenderedPageBreak/>
        <w:t xml:space="preserve">直流电源、数字万用表和电子负载，由于公司产品的通用性特征，公司产品广泛应用于通讯、半导体、汽车电子、医疗电子、消费电子、教育科研等领域，下游行业分布广泛。根据 </w:t>
      </w:r>
      <w:proofErr w:type="spellStart"/>
      <w:r w:rsidRPr="00F06EE9">
        <w:rPr>
          <w:rFonts w:ascii="宋体" w:eastAsia="宋体" w:hAnsi="宋体" w:cs="宋体"/>
          <w:color w:val="000000" w:themeColor="text1"/>
          <w:kern w:val="0"/>
          <w:sz w:val="24"/>
          <w:szCs w:val="24"/>
        </w:rPr>
        <w:t>Technavio</w:t>
      </w:r>
      <w:proofErr w:type="spellEnd"/>
      <w:r w:rsidRPr="00F06EE9">
        <w:rPr>
          <w:rFonts w:ascii="宋体" w:eastAsia="宋体" w:hAnsi="宋体" w:cs="宋体"/>
          <w:color w:val="000000" w:themeColor="text1"/>
          <w:kern w:val="0"/>
          <w:sz w:val="24"/>
          <w:szCs w:val="24"/>
        </w:rPr>
        <w:t xml:space="preserve"> 数据，2022 年通用电子测试测量行业按照下游最终用户划分，通讯行业比例为 28.14%，工业行业比例为 26.87%，电子和半导体行业比例为 13.38%。基于持续的研发投入，公司是全球极少数具有数字示波器、信号发生器、频谱分析仪和矢量网络分析仪四大通用电子测试测量仪器主力产品研发、生产和销售能力的通用电子测试测量仪器厂家，同时也是全球极少数同时拥有这四大主力产品并且四大主力产品全线进入高端领域的企业。随着下游应用领域的持续发展，公司将取得更多的发展机会及更大的成长空间。</w:t>
      </w:r>
    </w:p>
    <w:p w:rsidR="00F06EE9" w:rsidRPr="00F06EE9" w:rsidRDefault="00F06EE9" w:rsidP="00F06EE9">
      <w:pPr>
        <w:widowControl/>
        <w:shd w:val="clear" w:color="auto" w:fill="FFFFFF"/>
        <w:spacing w:line="360" w:lineRule="auto"/>
        <w:jc w:val="center"/>
        <w:rPr>
          <w:rFonts w:ascii="宋体" w:eastAsia="宋体" w:hAnsi="宋体" w:cs="宋体"/>
          <w:color w:val="000000" w:themeColor="text1"/>
          <w:kern w:val="0"/>
          <w:sz w:val="24"/>
          <w:szCs w:val="24"/>
        </w:rPr>
      </w:pPr>
      <w:r w:rsidRPr="00F06EE9">
        <w:rPr>
          <w:rFonts w:ascii="宋体" w:eastAsia="宋体" w:hAnsi="宋体" w:cs="宋体" w:hint="eastAsia"/>
          <w:noProof/>
          <w:color w:val="000000" w:themeColor="text1"/>
          <w:kern w:val="0"/>
          <w:sz w:val="24"/>
          <w:szCs w:val="24"/>
        </w:rPr>
        <w:drawing>
          <wp:inline distT="0" distB="0" distL="0" distR="0" wp14:anchorId="4FA09D0F" wp14:editId="5FB61E64">
            <wp:extent cx="4400550" cy="2473823"/>
            <wp:effectExtent l="0" t="0" r="0" b="3175"/>
            <wp:docPr id="1" name="图片 1" descr="https://www.861718.com/member/kindeditor/attached/image/20230828/20230828130951_58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861718.com/member/kindeditor/attached/image/20230828/20230828130951_5834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00550" cy="2473823"/>
                    </a:xfrm>
                    <a:prstGeom prst="rect">
                      <a:avLst/>
                    </a:prstGeom>
                    <a:noFill/>
                    <a:ln>
                      <a:noFill/>
                    </a:ln>
                  </pic:spPr>
                </pic:pic>
              </a:graphicData>
            </a:graphic>
          </wp:inline>
        </w:drawing>
      </w:r>
    </w:p>
    <w:p w:rsidR="00F06EE9" w:rsidRPr="00F06EE9" w:rsidRDefault="00F06EE9" w:rsidP="00F06EE9">
      <w:pPr>
        <w:widowControl/>
        <w:shd w:val="clear" w:color="auto" w:fill="FFFFFF"/>
        <w:spacing w:line="360" w:lineRule="auto"/>
        <w:ind w:firstLineChars="200" w:firstLine="480"/>
        <w:jc w:val="left"/>
        <w:rPr>
          <w:rFonts w:ascii="宋体" w:eastAsia="宋体" w:hAnsi="宋体" w:cs="宋体"/>
          <w:color w:val="000000" w:themeColor="text1"/>
          <w:kern w:val="0"/>
          <w:sz w:val="24"/>
          <w:szCs w:val="24"/>
        </w:rPr>
      </w:pPr>
      <w:r w:rsidRPr="00F06EE9">
        <w:rPr>
          <w:rFonts w:ascii="宋体" w:eastAsia="宋体" w:hAnsi="宋体" w:cs="宋体"/>
          <w:color w:val="000000" w:themeColor="text1"/>
          <w:kern w:val="0"/>
          <w:sz w:val="24"/>
          <w:szCs w:val="24"/>
        </w:rPr>
        <w:t>深圳市</w:t>
      </w:r>
      <w:proofErr w:type="gramStart"/>
      <w:r w:rsidRPr="00F06EE9">
        <w:rPr>
          <w:rFonts w:ascii="宋体" w:eastAsia="宋体" w:hAnsi="宋体" w:cs="宋体"/>
          <w:color w:val="000000" w:themeColor="text1"/>
          <w:kern w:val="0"/>
          <w:sz w:val="24"/>
          <w:szCs w:val="24"/>
        </w:rPr>
        <w:t>鼎阳科技</w:t>
      </w:r>
      <w:proofErr w:type="gramEnd"/>
      <w:r w:rsidRPr="00F06EE9">
        <w:rPr>
          <w:rFonts w:ascii="宋体" w:eastAsia="宋体" w:hAnsi="宋体" w:cs="宋体"/>
          <w:color w:val="000000" w:themeColor="text1"/>
          <w:kern w:val="0"/>
          <w:sz w:val="24"/>
          <w:szCs w:val="24"/>
        </w:rPr>
        <w:t>股份有限公司（简称“鼎阳科技”，股票代码：688112）是国家重点“小巨人”企业，是全球极少数具有数字示波器、信号发生器、频谱分析仪和矢量网络分析仪四大通用电子测试测量仪器主力产品研发、生产和销售能力的通用电子测试测量仪器企业，同时也是国内极少数同时拥有这四大主力产品并且四大主力产品全线进入高端领域的企业。公司总部位于深圳，在美国克利夫兰、德国奥格斯堡和日本东京成立了子公司，在成都成立了分公司，在北京、上海、西安、武汉、南京设立了办事处，产品及服务远销全球80多个国家及地区。</w:t>
      </w:r>
    </w:p>
    <w:p w:rsidR="00603E4D" w:rsidRPr="00F06EE9" w:rsidRDefault="00603E4D" w:rsidP="00F06EE9">
      <w:pPr>
        <w:spacing w:line="360" w:lineRule="auto"/>
        <w:ind w:firstLineChars="200" w:firstLine="480"/>
        <w:rPr>
          <w:rFonts w:ascii="宋体" w:eastAsia="宋体" w:hAnsi="宋体"/>
          <w:color w:val="000000" w:themeColor="text1"/>
          <w:sz w:val="24"/>
          <w:szCs w:val="24"/>
        </w:rPr>
      </w:pPr>
    </w:p>
    <w:sectPr w:rsidR="00603E4D" w:rsidRPr="00F06E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C61"/>
    <w:rsid w:val="00603E4D"/>
    <w:rsid w:val="00D00C61"/>
    <w:rsid w:val="00F06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06EE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6EE9"/>
    <w:rPr>
      <w:rFonts w:ascii="宋体" w:eastAsia="宋体" w:hAnsi="宋体" w:cs="宋体"/>
      <w:b/>
      <w:bCs/>
      <w:kern w:val="36"/>
      <w:sz w:val="48"/>
      <w:szCs w:val="48"/>
    </w:rPr>
  </w:style>
  <w:style w:type="paragraph" w:styleId="a3">
    <w:name w:val="Normal (Web)"/>
    <w:basedOn w:val="a"/>
    <w:uiPriority w:val="99"/>
    <w:semiHidden/>
    <w:unhideWhenUsed/>
    <w:rsid w:val="00F06E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6EE9"/>
    <w:rPr>
      <w:b/>
      <w:bCs/>
    </w:rPr>
  </w:style>
  <w:style w:type="paragraph" w:styleId="a5">
    <w:name w:val="Balloon Text"/>
    <w:basedOn w:val="a"/>
    <w:link w:val="Char"/>
    <w:uiPriority w:val="99"/>
    <w:semiHidden/>
    <w:unhideWhenUsed/>
    <w:rsid w:val="00F06EE9"/>
    <w:rPr>
      <w:sz w:val="18"/>
      <w:szCs w:val="18"/>
    </w:rPr>
  </w:style>
  <w:style w:type="character" w:customStyle="1" w:styleId="Char">
    <w:name w:val="批注框文本 Char"/>
    <w:basedOn w:val="a0"/>
    <w:link w:val="a5"/>
    <w:uiPriority w:val="99"/>
    <w:semiHidden/>
    <w:rsid w:val="00F06E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F06EE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F06EE9"/>
    <w:rPr>
      <w:rFonts w:ascii="宋体" w:eastAsia="宋体" w:hAnsi="宋体" w:cs="宋体"/>
      <w:b/>
      <w:bCs/>
      <w:kern w:val="36"/>
      <w:sz w:val="48"/>
      <w:szCs w:val="48"/>
    </w:rPr>
  </w:style>
  <w:style w:type="paragraph" w:styleId="a3">
    <w:name w:val="Normal (Web)"/>
    <w:basedOn w:val="a"/>
    <w:uiPriority w:val="99"/>
    <w:semiHidden/>
    <w:unhideWhenUsed/>
    <w:rsid w:val="00F06EE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06EE9"/>
    <w:rPr>
      <w:b/>
      <w:bCs/>
    </w:rPr>
  </w:style>
  <w:style w:type="paragraph" w:styleId="a5">
    <w:name w:val="Balloon Text"/>
    <w:basedOn w:val="a"/>
    <w:link w:val="Char"/>
    <w:uiPriority w:val="99"/>
    <w:semiHidden/>
    <w:unhideWhenUsed/>
    <w:rsid w:val="00F06EE9"/>
    <w:rPr>
      <w:sz w:val="18"/>
      <w:szCs w:val="18"/>
    </w:rPr>
  </w:style>
  <w:style w:type="character" w:customStyle="1" w:styleId="Char">
    <w:name w:val="批注框文本 Char"/>
    <w:basedOn w:val="a0"/>
    <w:link w:val="a5"/>
    <w:uiPriority w:val="99"/>
    <w:semiHidden/>
    <w:rsid w:val="00F06E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139">
      <w:bodyDiv w:val="1"/>
      <w:marLeft w:val="0"/>
      <w:marRight w:val="0"/>
      <w:marTop w:val="0"/>
      <w:marBottom w:val="0"/>
      <w:divBdr>
        <w:top w:val="none" w:sz="0" w:space="0" w:color="auto"/>
        <w:left w:val="none" w:sz="0" w:space="0" w:color="auto"/>
        <w:bottom w:val="none" w:sz="0" w:space="0" w:color="auto"/>
        <w:right w:val="none" w:sz="0" w:space="0" w:color="auto"/>
      </w:divBdr>
      <w:divsChild>
        <w:div w:id="2122138446">
          <w:marLeft w:val="0"/>
          <w:marRight w:val="0"/>
          <w:marTop w:val="165"/>
          <w:marBottom w:val="0"/>
          <w:divBdr>
            <w:top w:val="none" w:sz="0" w:space="0" w:color="auto"/>
            <w:left w:val="none" w:sz="0" w:space="0" w:color="auto"/>
            <w:bottom w:val="none" w:sz="0" w:space="0" w:color="auto"/>
            <w:right w:val="none" w:sz="0" w:space="0" w:color="auto"/>
          </w:divBdr>
        </w:div>
        <w:div w:id="793056376">
          <w:marLeft w:val="0"/>
          <w:marRight w:val="0"/>
          <w:marTop w:val="0"/>
          <w:marBottom w:val="0"/>
          <w:divBdr>
            <w:top w:val="none" w:sz="0" w:space="0" w:color="auto"/>
            <w:left w:val="none" w:sz="0" w:space="0" w:color="auto"/>
            <w:bottom w:val="none" w:sz="0" w:space="0" w:color="auto"/>
            <w:right w:val="none" w:sz="0" w:space="0" w:color="auto"/>
          </w:divBdr>
          <w:divsChild>
            <w:div w:id="1785033607">
              <w:marLeft w:val="0"/>
              <w:marRight w:val="0"/>
              <w:marTop w:val="0"/>
              <w:marBottom w:val="0"/>
              <w:divBdr>
                <w:top w:val="none" w:sz="0" w:space="0" w:color="auto"/>
                <w:left w:val="none" w:sz="0" w:space="0" w:color="auto"/>
                <w:bottom w:val="none" w:sz="0" w:space="0" w:color="auto"/>
                <w:right w:val="none" w:sz="0" w:space="0" w:color="auto"/>
              </w:divBdr>
              <w:divsChild>
                <w:div w:id="4214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338364">
          <w:marLeft w:val="0"/>
          <w:marRight w:val="0"/>
          <w:marTop w:val="0"/>
          <w:marBottom w:val="0"/>
          <w:divBdr>
            <w:top w:val="none" w:sz="0" w:space="0" w:color="auto"/>
            <w:left w:val="none" w:sz="0" w:space="0" w:color="auto"/>
            <w:bottom w:val="none" w:sz="0" w:space="0" w:color="auto"/>
            <w:right w:val="none" w:sz="0" w:space="0" w:color="auto"/>
          </w:divBdr>
          <w:divsChild>
            <w:div w:id="159555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224</Words>
  <Characters>1279</Characters>
  <Application>Microsoft Office Word</Application>
  <DocSecurity>0</DocSecurity>
  <Lines>10</Lines>
  <Paragraphs>2</Paragraphs>
  <ScaleCrop>false</ScaleCrop>
  <Company>Organization</Company>
  <LinksUpToDate>false</LinksUpToDate>
  <CharactersWithSpaces>1501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2024-10-18T07:00:00Z</dcterms:created>
  <dcterms:modified xsi:type="dcterms:W3CDTF">2024-10-18T07:02:00Z</dcterms:modified>
</cp:coreProperties>
</file>