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D73BE">
      <w:pPr>
        <w:jc w:val="center"/>
        <w:rPr>
          <w:rFonts w:hint="eastAsia" w:ascii="微软雅黑" w:hAnsi="微软雅黑" w:eastAsia="微软雅黑" w:cs="微软雅黑"/>
          <w:sz w:val="20"/>
          <w:szCs w:val="22"/>
        </w:rPr>
      </w:pPr>
      <w:r>
        <w:rPr>
          <w:rFonts w:hint="eastAsia" w:ascii="微软雅黑" w:hAnsi="微软雅黑" w:eastAsia="微软雅黑" w:cs="微软雅黑"/>
          <w:b/>
          <w:bCs w:val="0"/>
          <w:kern w:val="2"/>
          <w:sz w:val="28"/>
          <w:szCs w:val="22"/>
          <w:lang w:val="en-US" w:eastAsia="zh-CN" w:bidi="ar-SA"/>
        </w:rPr>
        <w:t>信而泰网络测试仪校准解决方案：精准测试，性能无忧</w:t>
      </w:r>
      <w:bookmarkStart w:id="0" w:name="_GoBack"/>
      <w:bookmarkEnd w:id="0"/>
    </w:p>
    <w:p w14:paraId="1056B7BD">
      <w:pPr>
        <w:pStyle w:val="2"/>
        <w:bidi w:val="0"/>
        <w:rPr>
          <w:rFonts w:hint="eastAsia" w:ascii="微软雅黑" w:hAnsi="微软雅黑" w:eastAsia="微软雅黑" w:cs="微软雅黑"/>
          <w:sz w:val="40"/>
          <w:szCs w:val="22"/>
          <w:lang w:val="en-US"/>
        </w:rPr>
      </w:pPr>
      <w:r>
        <w:rPr>
          <w:rFonts w:hint="eastAsia" w:ascii="微软雅黑" w:hAnsi="微软雅黑" w:eastAsia="微软雅黑" w:cs="微软雅黑"/>
          <w:b/>
          <w:bCs w:val="0"/>
          <w:kern w:val="2"/>
          <w:sz w:val="28"/>
          <w:szCs w:val="22"/>
          <w:lang w:val="en-US" w:eastAsia="zh-CN" w:bidi="ar-SA"/>
        </w:rPr>
        <w:t>一、影响仪表精度的因素</w:t>
      </w:r>
    </w:p>
    <w:p w14:paraId="4B827E66">
      <w:pPr>
        <w:ind w:firstLine="420" w:firstLineChars="0"/>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网络测试仪是用于对数据网络及其相关设备性能参数进行测试的仪表，可以模拟网络终端产生流量，进行网络性能测试，对网络状态进行实时监测，分析和统计。</w:t>
      </w:r>
      <w:r>
        <w:rPr>
          <w:rFonts w:hint="eastAsia" w:ascii="微软雅黑" w:hAnsi="微软雅黑" w:eastAsia="微软雅黑" w:cs="微软雅黑"/>
          <w:sz w:val="20"/>
          <w:szCs w:val="22"/>
          <w:lang w:eastAsia="zh-CN"/>
        </w:rPr>
        <w:t>数字计量对于精准数据的网络测试仪来说是一剂强心针，</w:t>
      </w:r>
      <w:r>
        <w:rPr>
          <w:rFonts w:hint="eastAsia" w:ascii="微软雅黑" w:hAnsi="微软雅黑" w:eastAsia="微软雅黑" w:cs="微软雅黑"/>
          <w:sz w:val="20"/>
          <w:szCs w:val="22"/>
          <w:lang w:val="en-US" w:eastAsia="zh-CN"/>
        </w:rPr>
        <w:t>它</w:t>
      </w:r>
      <w:r>
        <w:rPr>
          <w:rFonts w:hint="eastAsia" w:ascii="微软雅黑" w:hAnsi="微软雅黑" w:eastAsia="微软雅黑" w:cs="微软雅黑"/>
          <w:sz w:val="20"/>
          <w:szCs w:val="22"/>
          <w:lang w:eastAsia="zh-CN"/>
        </w:rPr>
        <w:t>能促进</w:t>
      </w:r>
      <w:r>
        <w:rPr>
          <w:rFonts w:hint="eastAsia" w:ascii="微软雅黑" w:hAnsi="微软雅黑" w:eastAsia="微软雅黑" w:cs="微软雅黑"/>
          <w:sz w:val="20"/>
          <w:szCs w:val="22"/>
          <w:lang w:val="en-US" w:eastAsia="zh-CN"/>
        </w:rPr>
        <w:t>网络测试仪</w:t>
      </w:r>
      <w:r>
        <w:rPr>
          <w:rFonts w:hint="eastAsia" w:ascii="微软雅黑" w:hAnsi="微软雅黑" w:eastAsia="微软雅黑" w:cs="微软雅黑"/>
          <w:sz w:val="20"/>
          <w:szCs w:val="22"/>
          <w:lang w:eastAsia="zh-CN"/>
        </w:rPr>
        <w:t>的规范化、数据化、准确化，</w:t>
      </w:r>
      <w:r>
        <w:rPr>
          <w:rFonts w:hint="eastAsia" w:ascii="微软雅黑" w:hAnsi="微软雅黑" w:eastAsia="微软雅黑" w:cs="微软雅黑"/>
          <w:sz w:val="20"/>
          <w:szCs w:val="22"/>
          <w:lang w:val="en-US" w:eastAsia="zh-CN"/>
        </w:rPr>
        <w:t>测试仪出现误差可能由多种因素导致，以下是一些常见因素：</w:t>
      </w:r>
    </w:p>
    <w:p w14:paraId="68913BB1">
      <w:pPr>
        <w:numPr>
          <w:ilvl w:val="0"/>
          <w:numId w:val="1"/>
        </w:numPr>
        <w:ind w:firstLine="420" w:firstLineChars="0"/>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器件老化：随着时间的推移，仪表内部零件、芯片逐渐老化，仪表出现线性度不佳、精度下降的概率逐渐提高</w:t>
      </w:r>
    </w:p>
    <w:p w14:paraId="0C6860D6">
      <w:pPr>
        <w:numPr>
          <w:ilvl w:val="0"/>
          <w:numId w:val="1"/>
        </w:numPr>
        <w:ind w:firstLine="420" w:firstLineChars="0"/>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信号干扰：传输介质、电磁干扰、静电干扰等因素可能会影响传输信号的质量，影响测试结果</w:t>
      </w:r>
    </w:p>
    <w:p w14:paraId="37A49329">
      <w:pPr>
        <w:numPr>
          <w:ilvl w:val="0"/>
          <w:numId w:val="1"/>
        </w:numPr>
        <w:ind w:firstLine="420" w:firstLineChars="0"/>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环境条件：温度、湿度、压力、震动等环境因素的变化可能导致仪表工作状态不稳定</w:t>
      </w:r>
    </w:p>
    <w:p w14:paraId="371FF690">
      <w:pPr>
        <w:numPr>
          <w:ilvl w:val="0"/>
          <w:numId w:val="1"/>
        </w:numPr>
        <w:ind w:firstLine="420" w:firstLineChars="0"/>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电源故障：电压波动、电线连接不良等因素会导致仪表工作状态不稳定</w:t>
      </w:r>
    </w:p>
    <w:p w14:paraId="78F3F28A">
      <w:pPr>
        <w:numPr>
          <w:ilvl w:val="0"/>
          <w:numId w:val="1"/>
        </w:numPr>
        <w:ind w:firstLine="420" w:firstLineChars="0"/>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人为因素：仪表在使用过程中安装方法不正确、测试配置错误、测试步骤不规范等因素影响测试结果准确性</w:t>
      </w:r>
    </w:p>
    <w:p w14:paraId="3D725B75">
      <w:pPr>
        <w:rPr>
          <w:rFonts w:hint="eastAsia" w:ascii="微软雅黑" w:hAnsi="微软雅黑" w:eastAsia="微软雅黑" w:cs="微软雅黑"/>
          <w:sz w:val="20"/>
          <w:szCs w:val="22"/>
          <w:lang w:val="en-US" w:eastAsia="zh-CN"/>
        </w:rPr>
      </w:pPr>
    </w:p>
    <w:p w14:paraId="5B74F763">
      <w:pPr>
        <w:rPr>
          <w:rFonts w:hint="eastAsia" w:ascii="微软雅黑" w:hAnsi="微软雅黑" w:eastAsia="微软雅黑" w:cs="微软雅黑"/>
          <w:sz w:val="20"/>
          <w:szCs w:val="22"/>
          <w:lang w:eastAsia="zh-CN"/>
        </w:rPr>
      </w:pPr>
    </w:p>
    <w:p w14:paraId="3FBE8534">
      <w:pPr>
        <w:rPr>
          <w:rFonts w:hint="eastAsia" w:ascii="微软雅黑" w:hAnsi="微软雅黑" w:eastAsia="微软雅黑" w:cs="微软雅黑"/>
          <w:sz w:val="20"/>
          <w:szCs w:val="22"/>
          <w:lang w:val="en-US" w:eastAsia="zh-CN"/>
        </w:rPr>
      </w:pPr>
    </w:p>
    <w:p w14:paraId="731ECB9A">
      <w:pPr>
        <w:rPr>
          <w:rFonts w:hint="eastAsia" w:ascii="微软雅黑" w:hAnsi="微软雅黑" w:eastAsia="微软雅黑" w:cs="微软雅黑"/>
          <w:b/>
          <w:bCs w:val="0"/>
          <w:kern w:val="2"/>
          <w:sz w:val="28"/>
          <w:szCs w:val="22"/>
          <w:lang w:val="en-US" w:eastAsia="zh-CN" w:bidi="ar-SA"/>
        </w:rPr>
      </w:pPr>
      <w:r>
        <w:rPr>
          <w:rFonts w:hint="eastAsia" w:ascii="微软雅黑" w:hAnsi="微软雅黑" w:eastAsia="微软雅黑" w:cs="微软雅黑"/>
          <w:b/>
          <w:bCs w:val="0"/>
          <w:kern w:val="2"/>
          <w:sz w:val="28"/>
          <w:szCs w:val="22"/>
          <w:lang w:val="en-US" w:eastAsia="zh-CN" w:bidi="ar-SA"/>
        </w:rPr>
        <w:t>二、信而泰网络测试仪校准解决方案</w:t>
      </w:r>
    </w:p>
    <w:p w14:paraId="21D55BD4">
      <w:pPr>
        <w:rPr>
          <w:rFonts w:hint="eastAsia" w:ascii="微软雅黑" w:hAnsi="微软雅黑" w:eastAsia="微软雅黑" w:cs="微软雅黑"/>
          <w:sz w:val="20"/>
          <w:szCs w:val="22"/>
          <w:lang w:eastAsia="zh-CN"/>
        </w:rPr>
      </w:pPr>
    </w:p>
    <w:p w14:paraId="71EF11CF">
      <w:pPr>
        <w:ind w:firstLine="420" w:firstLineChars="0"/>
        <w:rPr>
          <w:rFonts w:hint="eastAsia" w:ascii="微软雅黑" w:hAnsi="微软雅黑" w:eastAsia="微软雅黑" w:cs="微软雅黑"/>
          <w:sz w:val="20"/>
          <w:szCs w:val="22"/>
        </w:rPr>
      </w:pPr>
      <w:r>
        <w:rPr>
          <w:rFonts w:hint="eastAsia" w:ascii="微软雅黑" w:hAnsi="微软雅黑" w:eastAsia="微软雅黑" w:cs="微软雅黑"/>
          <w:sz w:val="20"/>
          <w:szCs w:val="22"/>
        </w:rPr>
        <w:t>移动互联网、大数据、云计算、5G技术</w:t>
      </w:r>
      <w:r>
        <w:rPr>
          <w:rFonts w:hint="eastAsia" w:ascii="微软雅黑" w:hAnsi="微软雅黑" w:eastAsia="微软雅黑" w:cs="微软雅黑"/>
          <w:sz w:val="20"/>
          <w:szCs w:val="22"/>
          <w:lang w:eastAsia="zh-CN"/>
        </w:rPr>
        <w:t>、</w:t>
      </w:r>
      <w:r>
        <w:rPr>
          <w:rFonts w:hint="eastAsia" w:ascii="微软雅黑" w:hAnsi="微软雅黑" w:eastAsia="微软雅黑" w:cs="微软雅黑"/>
          <w:sz w:val="20"/>
          <w:szCs w:val="22"/>
          <w:lang w:val="en-US" w:eastAsia="zh-CN"/>
        </w:rPr>
        <w:t>AI、大模型技术快速</w:t>
      </w:r>
      <w:r>
        <w:rPr>
          <w:rFonts w:hint="eastAsia" w:ascii="微软雅黑" w:hAnsi="微软雅黑" w:eastAsia="微软雅黑" w:cs="微软雅黑"/>
          <w:sz w:val="20"/>
          <w:szCs w:val="22"/>
        </w:rPr>
        <w:t>发展，网络</w:t>
      </w:r>
      <w:r>
        <w:rPr>
          <w:rFonts w:hint="eastAsia" w:ascii="微软雅黑" w:hAnsi="微软雅黑" w:eastAsia="微软雅黑" w:cs="微软雅黑"/>
          <w:sz w:val="20"/>
          <w:szCs w:val="22"/>
          <w:lang w:val="en-US" w:eastAsia="zh-CN"/>
        </w:rPr>
        <w:t>中的流量呈指数上升，对现网的</w:t>
      </w:r>
      <w:r>
        <w:rPr>
          <w:rFonts w:hint="eastAsia" w:ascii="微软雅黑" w:hAnsi="微软雅黑" w:eastAsia="微软雅黑" w:cs="微软雅黑"/>
          <w:sz w:val="20"/>
          <w:szCs w:val="22"/>
        </w:rPr>
        <w:t>设备性能要求</w:t>
      </w:r>
      <w:r>
        <w:rPr>
          <w:rFonts w:hint="eastAsia" w:ascii="微软雅黑" w:hAnsi="微软雅黑" w:eastAsia="微软雅黑" w:cs="微软雅黑"/>
          <w:sz w:val="20"/>
          <w:szCs w:val="22"/>
          <w:lang w:val="en-US" w:eastAsia="zh-CN"/>
        </w:rPr>
        <w:t>也</w:t>
      </w:r>
      <w:r>
        <w:rPr>
          <w:rFonts w:hint="eastAsia" w:ascii="微软雅黑" w:hAnsi="微软雅黑" w:eastAsia="微软雅黑" w:cs="微软雅黑"/>
          <w:sz w:val="20"/>
          <w:szCs w:val="22"/>
        </w:rPr>
        <w:t>日益提高</w:t>
      </w:r>
      <w:r>
        <w:rPr>
          <w:rFonts w:hint="eastAsia" w:ascii="微软雅黑" w:hAnsi="微软雅黑" w:eastAsia="微软雅黑" w:cs="微软雅黑"/>
          <w:sz w:val="20"/>
          <w:szCs w:val="22"/>
          <w:lang w:eastAsia="zh-CN"/>
        </w:rPr>
        <w:t>，</w:t>
      </w:r>
      <w:r>
        <w:rPr>
          <w:rFonts w:hint="eastAsia" w:ascii="微软雅黑" w:hAnsi="微软雅黑" w:eastAsia="微软雅黑" w:cs="微软雅黑"/>
          <w:sz w:val="20"/>
          <w:szCs w:val="22"/>
          <w:lang w:val="en-US" w:eastAsia="zh-CN"/>
        </w:rPr>
        <w:t>同时也对网络测试仪提出了更高的性能要求</w:t>
      </w:r>
      <w:r>
        <w:rPr>
          <w:rFonts w:hint="eastAsia" w:ascii="微软雅黑" w:hAnsi="微软雅黑" w:eastAsia="微软雅黑" w:cs="微软雅黑"/>
          <w:sz w:val="20"/>
          <w:szCs w:val="22"/>
        </w:rPr>
        <w:t>。</w:t>
      </w:r>
      <w:r>
        <w:rPr>
          <w:rFonts w:hint="eastAsia" w:ascii="微软雅黑" w:hAnsi="微软雅黑" w:eastAsia="微软雅黑" w:cs="微软雅黑"/>
          <w:sz w:val="20"/>
          <w:szCs w:val="22"/>
          <w:lang w:val="en-US" w:eastAsia="zh-CN"/>
        </w:rPr>
        <w:t>网络测试仪</w:t>
      </w:r>
      <w:r>
        <w:rPr>
          <w:rFonts w:hint="eastAsia" w:ascii="微软雅黑" w:hAnsi="微软雅黑" w:eastAsia="微软雅黑" w:cs="微软雅黑"/>
          <w:sz w:val="20"/>
          <w:szCs w:val="22"/>
        </w:rPr>
        <w:t>作为评估网络设备性能的关键</w:t>
      </w:r>
      <w:r>
        <w:rPr>
          <w:rFonts w:hint="eastAsia" w:ascii="微软雅黑" w:hAnsi="微软雅黑" w:eastAsia="微软雅黑" w:cs="微软雅黑"/>
          <w:sz w:val="20"/>
          <w:szCs w:val="22"/>
          <w:lang w:val="en-US" w:eastAsia="zh-CN"/>
        </w:rPr>
        <w:t>工具</w:t>
      </w:r>
      <w:r>
        <w:rPr>
          <w:rFonts w:hint="eastAsia" w:ascii="微软雅黑" w:hAnsi="微软雅黑" w:eastAsia="微软雅黑" w:cs="微软雅黑"/>
          <w:sz w:val="20"/>
          <w:szCs w:val="22"/>
        </w:rPr>
        <w:t>，</w:t>
      </w:r>
      <w:r>
        <w:rPr>
          <w:rFonts w:hint="eastAsia" w:ascii="微软雅黑" w:hAnsi="微软雅黑" w:eastAsia="微软雅黑" w:cs="微软雅黑"/>
          <w:sz w:val="20"/>
          <w:szCs w:val="22"/>
          <w:lang w:val="en-US" w:eastAsia="zh-CN"/>
        </w:rPr>
        <w:t>直接影响设备测试的准确性和可靠性</w:t>
      </w:r>
      <w:r>
        <w:rPr>
          <w:rFonts w:hint="eastAsia" w:ascii="微软雅黑" w:hAnsi="微软雅黑" w:eastAsia="微软雅黑" w:cs="微软雅黑"/>
          <w:sz w:val="20"/>
          <w:szCs w:val="22"/>
        </w:rPr>
        <w:t>，北京信而泰科技股份有限公司凭借在网络测试仪行业的深厚积累，</w:t>
      </w:r>
      <w:r>
        <w:rPr>
          <w:rFonts w:hint="eastAsia" w:ascii="微软雅黑" w:hAnsi="微软雅黑" w:eastAsia="微软雅黑" w:cs="微软雅黑"/>
          <w:sz w:val="20"/>
          <w:szCs w:val="22"/>
          <w:lang w:val="en-US" w:eastAsia="zh-CN"/>
        </w:rPr>
        <w:t>参照《数据网络性能测试仪校 准规范》（下称《校准规范》）要求，</w:t>
      </w:r>
      <w:r>
        <w:rPr>
          <w:rFonts w:hint="eastAsia" w:ascii="微软雅黑" w:hAnsi="微软雅黑" w:eastAsia="微软雅黑" w:cs="微软雅黑"/>
          <w:sz w:val="20"/>
          <w:szCs w:val="22"/>
        </w:rPr>
        <w:t>推出</w:t>
      </w:r>
      <w:r>
        <w:rPr>
          <w:rFonts w:hint="eastAsia" w:ascii="微软雅黑" w:hAnsi="微软雅黑" w:eastAsia="微软雅黑" w:cs="微软雅黑"/>
          <w:sz w:val="20"/>
          <w:szCs w:val="22"/>
          <w:lang w:val="en-US" w:eastAsia="zh-CN"/>
        </w:rPr>
        <w:t>专用于网络测试仪校准的</w:t>
      </w:r>
      <w:r>
        <w:rPr>
          <w:rFonts w:hint="eastAsia" w:ascii="微软雅黑" w:hAnsi="微软雅黑" w:eastAsia="微软雅黑" w:cs="微软雅黑"/>
          <w:sz w:val="20"/>
          <w:szCs w:val="22"/>
        </w:rPr>
        <w:t>BigTao6200-G系列</w:t>
      </w:r>
      <w:r>
        <w:rPr>
          <w:rFonts w:hint="eastAsia" w:ascii="微软雅黑" w:hAnsi="微软雅黑" w:eastAsia="微软雅黑" w:cs="微软雅黑"/>
          <w:sz w:val="20"/>
          <w:szCs w:val="22"/>
          <w:lang w:val="en-US" w:eastAsia="zh-CN"/>
        </w:rPr>
        <w:t>产品</w:t>
      </w:r>
      <w:r>
        <w:rPr>
          <w:rFonts w:hint="eastAsia" w:ascii="微软雅黑" w:hAnsi="微软雅黑" w:eastAsia="微软雅黑" w:cs="微软雅黑"/>
          <w:sz w:val="20"/>
          <w:szCs w:val="22"/>
        </w:rPr>
        <w:t>，旨在提供更高效、更精准的</w:t>
      </w:r>
      <w:r>
        <w:rPr>
          <w:rFonts w:hint="eastAsia" w:ascii="微软雅黑" w:hAnsi="微软雅黑" w:eastAsia="微软雅黑" w:cs="微软雅黑"/>
          <w:sz w:val="20"/>
          <w:szCs w:val="22"/>
          <w:lang w:val="en-US" w:eastAsia="zh-CN"/>
        </w:rPr>
        <w:t>网络测试仪校准</w:t>
      </w:r>
      <w:r>
        <w:rPr>
          <w:rFonts w:hint="eastAsia" w:ascii="微软雅黑" w:hAnsi="微软雅黑" w:eastAsia="微软雅黑" w:cs="微软雅黑"/>
          <w:sz w:val="20"/>
          <w:szCs w:val="22"/>
        </w:rPr>
        <w:t>解决方案。</w:t>
      </w:r>
    </w:p>
    <w:p w14:paraId="2578840D">
      <w:pPr>
        <w:numPr>
          <w:ilvl w:val="0"/>
          <w:numId w:val="2"/>
        </w:num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时延测量</w:t>
      </w:r>
    </w:p>
    <w:p w14:paraId="4AA53733">
      <w:p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测量原理：通过线缆将被校仪表与时延发生标准器连接起来形成一个回环的链路拓扑，时延发生器根据《校准规范》设置固定时延，被校仪表发送端发送特定字节长度报文，接收端统计报文经过时延发生器的平均时延，记录所有字节的时延值然后进行时延校准不确定度计算</w:t>
      </w:r>
    </w:p>
    <w:p w14:paraId="4D6110AD">
      <w:pPr>
        <w:numPr>
          <w:ilvl w:val="0"/>
          <w:numId w:val="0"/>
        </w:numPr>
        <w:jc w:val="center"/>
        <w:rPr>
          <w:rFonts w:hint="eastAsia" w:ascii="微软雅黑" w:hAnsi="微软雅黑" w:eastAsia="微软雅黑" w:cs="微软雅黑"/>
          <w:sz w:val="20"/>
          <w:szCs w:val="22"/>
        </w:rPr>
      </w:pPr>
      <w:r>
        <w:rPr>
          <w:rFonts w:hint="eastAsia" w:ascii="微软雅黑" w:hAnsi="微软雅黑" w:eastAsia="微软雅黑" w:cs="微软雅黑"/>
          <w:sz w:val="20"/>
          <w:szCs w:val="22"/>
        </w:rPr>
        <w:drawing>
          <wp:inline distT="0" distB="0" distL="114300" distR="114300">
            <wp:extent cx="4726940" cy="2698750"/>
            <wp:effectExtent l="0" t="0" r="1270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726940" cy="2698750"/>
                    </a:xfrm>
                    <a:prstGeom prst="rect">
                      <a:avLst/>
                    </a:prstGeom>
                    <a:noFill/>
                    <a:ln>
                      <a:noFill/>
                    </a:ln>
                  </pic:spPr>
                </pic:pic>
              </a:graphicData>
            </a:graphic>
          </wp:inline>
        </w:drawing>
      </w:r>
    </w:p>
    <w:p w14:paraId="78E70F05">
      <w:pPr>
        <w:numPr>
          <w:ilvl w:val="0"/>
          <w:numId w:val="0"/>
        </w:numPr>
        <w:jc w:val="cente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仪表时延校准测量场景</w:t>
      </w:r>
    </w:p>
    <w:p w14:paraId="6BB113FE">
      <w:pPr>
        <w:numPr>
          <w:ilvl w:val="0"/>
          <w:numId w:val="0"/>
        </w:numPr>
        <w:jc w:val="left"/>
        <w:rPr>
          <w:rFonts w:hint="eastAsia" w:ascii="微软雅黑" w:hAnsi="微软雅黑" w:eastAsia="微软雅黑" w:cs="微软雅黑"/>
          <w:sz w:val="20"/>
          <w:szCs w:val="22"/>
          <w:lang w:val="en-US" w:eastAsia="zh-CN"/>
        </w:rPr>
      </w:pPr>
    </w:p>
    <w:p w14:paraId="3D4655B0">
      <w:pPr>
        <w:numPr>
          <w:ilvl w:val="0"/>
          <w:numId w:val="0"/>
        </w:numPr>
        <w:jc w:val="left"/>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在时延发生器上根据《校准规范》设置固定时延，然后点击确定按键使该配置生效。时延发生器同时还支持包括丢包、乱序、重复帧、包损坏、物理链路损伤、数据包篡改替换、带宽限速等功能</w:t>
      </w:r>
    </w:p>
    <w:p w14:paraId="72CFD48F">
      <w:pPr>
        <w:numPr>
          <w:ilvl w:val="0"/>
          <w:numId w:val="0"/>
        </w:numPr>
        <w:jc w:val="left"/>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rPr>
        <w:drawing>
          <wp:inline distT="0" distB="0" distL="114300" distR="114300">
            <wp:extent cx="5271770" cy="3162935"/>
            <wp:effectExtent l="0" t="0" r="1270" b="698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5"/>
                    <a:stretch>
                      <a:fillRect/>
                    </a:stretch>
                  </pic:blipFill>
                  <pic:spPr>
                    <a:xfrm>
                      <a:off x="0" y="0"/>
                      <a:ext cx="5271770" cy="3162935"/>
                    </a:xfrm>
                    <a:prstGeom prst="rect">
                      <a:avLst/>
                    </a:prstGeom>
                    <a:noFill/>
                    <a:ln>
                      <a:noFill/>
                    </a:ln>
                  </pic:spPr>
                </pic:pic>
              </a:graphicData>
            </a:graphic>
          </wp:inline>
        </w:drawing>
      </w:r>
    </w:p>
    <w:p w14:paraId="5FE78696">
      <w:pPr>
        <w:rPr>
          <w:rFonts w:hint="eastAsia" w:ascii="微软雅黑" w:hAnsi="微软雅黑" w:eastAsia="微软雅黑" w:cs="微软雅黑"/>
          <w:sz w:val="20"/>
          <w:szCs w:val="22"/>
          <w:lang w:eastAsia="zh-CN"/>
        </w:rPr>
      </w:pPr>
    </w:p>
    <w:p w14:paraId="69051409">
      <w:p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被校仪表发送端按照《校准规范》发送特定字节长度报文，接收端统计报文经过时延发生器的平均时延，记录所有字节的时延值然后进行时延校准不确定度计算</w:t>
      </w:r>
    </w:p>
    <w:p w14:paraId="06F6525B">
      <w:p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rPr>
        <w:drawing>
          <wp:inline distT="0" distB="0" distL="114300" distR="114300">
            <wp:extent cx="5266055" cy="1421765"/>
            <wp:effectExtent l="0" t="0" r="6985" b="1079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6"/>
                    <a:stretch>
                      <a:fillRect/>
                    </a:stretch>
                  </pic:blipFill>
                  <pic:spPr>
                    <a:xfrm>
                      <a:off x="0" y="0"/>
                      <a:ext cx="5266055" cy="1421765"/>
                    </a:xfrm>
                    <a:prstGeom prst="rect">
                      <a:avLst/>
                    </a:prstGeom>
                    <a:noFill/>
                    <a:ln>
                      <a:noFill/>
                    </a:ln>
                  </pic:spPr>
                </pic:pic>
              </a:graphicData>
            </a:graphic>
          </wp:inline>
        </w:drawing>
      </w:r>
    </w:p>
    <w:p w14:paraId="6C34A255">
      <w:pPr>
        <w:rPr>
          <w:rFonts w:hint="eastAsia" w:ascii="微软雅黑" w:hAnsi="微软雅黑" w:eastAsia="微软雅黑" w:cs="微软雅黑"/>
          <w:sz w:val="20"/>
          <w:szCs w:val="22"/>
          <w:lang w:eastAsia="zh-CN"/>
        </w:rPr>
      </w:pPr>
    </w:p>
    <w:p w14:paraId="5AC3B87E">
      <w:pPr>
        <w:numPr>
          <w:ilvl w:val="0"/>
          <w:numId w:val="3"/>
        </w:num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数据包发送速率测量</w:t>
      </w:r>
    </w:p>
    <w:p w14:paraId="36DEEAC5">
      <w:pPr>
        <w:numPr>
          <w:ilvl w:val="0"/>
          <w:numId w:val="0"/>
        </w:num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测量原理：被校仪表以太网端口根据《校准规范》要求以某一速率发送某一固定包长数据时，帧头触发器检测到以太网信号中帧头即产生一个计数脉冲，用频率计数器测出发送频率，即为该端口的数据包发送速率</w:t>
      </w:r>
    </w:p>
    <w:p w14:paraId="6DEA24CB">
      <w:pPr>
        <w:numPr>
          <w:ilvl w:val="0"/>
          <w:numId w:val="0"/>
        </w:num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rPr>
        <w:drawing>
          <wp:inline distT="0" distB="0" distL="114300" distR="114300">
            <wp:extent cx="5271135" cy="1445895"/>
            <wp:effectExtent l="0" t="0" r="1905" b="19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7"/>
                    <a:stretch>
                      <a:fillRect/>
                    </a:stretch>
                  </pic:blipFill>
                  <pic:spPr>
                    <a:xfrm>
                      <a:off x="0" y="0"/>
                      <a:ext cx="5271135" cy="1445895"/>
                    </a:xfrm>
                    <a:prstGeom prst="rect">
                      <a:avLst/>
                    </a:prstGeom>
                    <a:noFill/>
                    <a:ln>
                      <a:noFill/>
                    </a:ln>
                  </pic:spPr>
                </pic:pic>
              </a:graphicData>
            </a:graphic>
          </wp:inline>
        </w:drawing>
      </w:r>
    </w:p>
    <w:p w14:paraId="694852A8">
      <w:pPr>
        <w:numPr>
          <w:ilvl w:val="0"/>
          <w:numId w:val="0"/>
        </w:numPr>
        <w:jc w:val="cente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仪表数据包发送速率校准测量场景</w:t>
      </w:r>
    </w:p>
    <w:p w14:paraId="51C2B6D0">
      <w:pPr>
        <w:numPr>
          <w:ilvl w:val="0"/>
          <w:numId w:val="0"/>
        </w:numPr>
        <w:jc w:val="center"/>
        <w:rPr>
          <w:rFonts w:hint="eastAsia" w:ascii="微软雅黑" w:hAnsi="微软雅黑" w:eastAsia="微软雅黑" w:cs="微软雅黑"/>
          <w:sz w:val="20"/>
          <w:szCs w:val="22"/>
          <w:lang w:val="en-US" w:eastAsia="zh-CN"/>
        </w:rPr>
      </w:pPr>
    </w:p>
    <w:p w14:paraId="3AE233A0">
      <w:pPr>
        <w:numPr>
          <w:ilvl w:val="0"/>
          <w:numId w:val="0"/>
        </w:numPr>
        <w:jc w:val="left"/>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以1Gbps端口发送64Byte数据包示例，根据《校准规范》要求，被校仪表以太网端口设置端口速率1Gbps，发送64Byte字节长度报文，帧头触发器检测到以太网信号中帧头速率，即产生对应速率的计数脉冲，脉冲信号通过BNC口传输给频率计数器</w:t>
      </w:r>
    </w:p>
    <w:p w14:paraId="4852F406">
      <w:pPr>
        <w:rPr>
          <w:rFonts w:hint="eastAsia" w:ascii="微软雅黑" w:hAnsi="微软雅黑" w:eastAsia="微软雅黑" w:cs="微软雅黑"/>
          <w:sz w:val="20"/>
          <w:szCs w:val="22"/>
          <w:lang w:eastAsia="zh-CN"/>
        </w:rPr>
      </w:pPr>
      <w:r>
        <w:rPr>
          <w:rFonts w:hint="eastAsia" w:ascii="微软雅黑" w:hAnsi="微软雅黑" w:eastAsia="微软雅黑" w:cs="微软雅黑"/>
          <w:sz w:val="20"/>
          <w:szCs w:val="22"/>
        </w:rPr>
        <w:drawing>
          <wp:inline distT="0" distB="0" distL="114300" distR="114300">
            <wp:extent cx="5273040" cy="1172210"/>
            <wp:effectExtent l="0" t="0" r="0" b="127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8"/>
                    <a:stretch>
                      <a:fillRect/>
                    </a:stretch>
                  </pic:blipFill>
                  <pic:spPr>
                    <a:xfrm>
                      <a:off x="0" y="0"/>
                      <a:ext cx="5273040" cy="1172210"/>
                    </a:xfrm>
                    <a:prstGeom prst="rect">
                      <a:avLst/>
                    </a:prstGeom>
                    <a:noFill/>
                    <a:ln>
                      <a:noFill/>
                    </a:ln>
                  </pic:spPr>
                </pic:pic>
              </a:graphicData>
            </a:graphic>
          </wp:inline>
        </w:drawing>
      </w:r>
    </w:p>
    <w:p w14:paraId="289C6738">
      <w:pPr>
        <w:rPr>
          <w:rFonts w:hint="eastAsia" w:ascii="微软雅黑" w:hAnsi="微软雅黑" w:eastAsia="微软雅黑" w:cs="微软雅黑"/>
          <w:sz w:val="20"/>
          <w:szCs w:val="22"/>
        </w:rPr>
      </w:pPr>
    </w:p>
    <w:p w14:paraId="67BCB4C3">
      <w:p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将频率计数器设置为Freq&amp;Ratio模式，频率计数器接收到帧头触发器的计数脉冲，并在LCD显示对应的数值，记录所有数值然后进行所有字节的数据包发送速率校准不确定度计算</w:t>
      </w:r>
    </w:p>
    <w:p w14:paraId="289C69EC">
      <w:pPr>
        <w:pStyle w:val="2"/>
        <w:bidi w:val="0"/>
        <w:rPr>
          <w:rFonts w:hint="eastAsia" w:ascii="微软雅黑" w:hAnsi="微软雅黑" w:eastAsia="微软雅黑" w:cs="微软雅黑"/>
          <w:sz w:val="40"/>
          <w:szCs w:val="22"/>
        </w:rPr>
      </w:pPr>
      <w:r>
        <w:rPr>
          <w:rFonts w:hint="eastAsia" w:ascii="微软雅黑" w:hAnsi="微软雅黑" w:eastAsia="微软雅黑" w:cs="微软雅黑"/>
          <w:sz w:val="40"/>
          <w:szCs w:val="22"/>
        </w:rPr>
        <w:drawing>
          <wp:inline distT="0" distB="0" distL="114300" distR="114300">
            <wp:extent cx="5273040" cy="2094865"/>
            <wp:effectExtent l="0" t="0" r="0" b="825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9"/>
                    <a:stretch>
                      <a:fillRect/>
                    </a:stretch>
                  </pic:blipFill>
                  <pic:spPr>
                    <a:xfrm>
                      <a:off x="0" y="0"/>
                      <a:ext cx="5273040" cy="2094865"/>
                    </a:xfrm>
                    <a:prstGeom prst="rect">
                      <a:avLst/>
                    </a:prstGeom>
                    <a:noFill/>
                    <a:ln>
                      <a:noFill/>
                    </a:ln>
                  </pic:spPr>
                </pic:pic>
              </a:graphicData>
            </a:graphic>
          </wp:inline>
        </w:drawing>
      </w:r>
    </w:p>
    <w:p w14:paraId="591025DE">
      <w:pPr>
        <w:pStyle w:val="2"/>
        <w:bidi w:val="0"/>
        <w:rPr>
          <w:rFonts w:hint="eastAsia" w:ascii="微软雅黑" w:hAnsi="微软雅黑" w:eastAsia="微软雅黑" w:cs="微软雅黑"/>
          <w:sz w:val="40"/>
          <w:szCs w:val="22"/>
          <w:lang w:val="en-US" w:eastAsia="zh-CN"/>
        </w:rPr>
      </w:pPr>
      <w:r>
        <w:rPr>
          <w:rFonts w:hint="eastAsia" w:ascii="微软雅黑" w:hAnsi="微软雅黑" w:eastAsia="微软雅黑" w:cs="微软雅黑"/>
          <w:b/>
          <w:bCs w:val="0"/>
          <w:kern w:val="2"/>
          <w:sz w:val="28"/>
          <w:szCs w:val="22"/>
          <w:lang w:val="en-US" w:eastAsia="zh-CN" w:bidi="ar-SA"/>
        </w:rPr>
        <w:t>三、信而泰计量校准仪表系列</w:t>
      </w:r>
    </w:p>
    <w:p w14:paraId="3258D981">
      <w:pPr>
        <w:numPr>
          <w:ilvl w:val="0"/>
          <w:numId w:val="0"/>
        </w:numPr>
        <w:ind w:leftChars="0"/>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（1）BigTao6200-G机箱</w:t>
      </w:r>
    </w:p>
    <w:p w14:paraId="6EC1BC77">
      <w:pPr>
        <w:rPr>
          <w:rFonts w:hint="eastAsia" w:ascii="微软雅黑" w:hAnsi="微软雅黑" w:eastAsia="微软雅黑" w:cs="微软雅黑"/>
          <w:sz w:val="20"/>
          <w:szCs w:val="22"/>
        </w:rPr>
      </w:pPr>
      <w:r>
        <w:rPr>
          <w:rFonts w:hint="eastAsia" w:ascii="微软雅黑" w:hAnsi="微软雅黑" w:eastAsia="微软雅黑" w:cs="微软雅黑"/>
          <w:sz w:val="20"/>
          <w:szCs w:val="22"/>
          <w:lang w:val="en-US" w:eastAsia="zh-CN"/>
        </w:rPr>
        <w:t>信而泰</w:t>
      </w:r>
      <w:r>
        <w:rPr>
          <w:rFonts w:hint="eastAsia" w:ascii="微软雅黑" w:hAnsi="微软雅黑" w:eastAsia="微软雅黑" w:cs="微软雅黑"/>
          <w:sz w:val="20"/>
          <w:szCs w:val="22"/>
        </w:rPr>
        <w:t>BigTao6200-G</w:t>
      </w:r>
      <w:r>
        <w:rPr>
          <w:rFonts w:hint="eastAsia" w:ascii="微软雅黑" w:hAnsi="微软雅黑" w:eastAsia="微软雅黑" w:cs="微软雅黑"/>
          <w:sz w:val="20"/>
          <w:szCs w:val="22"/>
          <w:lang w:val="en-US" w:eastAsia="zh-CN"/>
        </w:rPr>
        <w:t>机箱</w:t>
      </w:r>
      <w:r>
        <w:rPr>
          <w:rFonts w:hint="eastAsia" w:ascii="微软雅黑" w:hAnsi="微软雅黑" w:eastAsia="微软雅黑" w:cs="微软雅黑"/>
          <w:sz w:val="20"/>
          <w:szCs w:val="22"/>
        </w:rPr>
        <w:t>采用模块化设计理念，提供6个插槽，支持从10M到100G多种速率的测试模块任意组合，通过优化结构设计，尽量减小尺寸，减轻重量，提高</w:t>
      </w:r>
      <w:r>
        <w:rPr>
          <w:rFonts w:hint="eastAsia" w:ascii="微软雅黑" w:hAnsi="微软雅黑" w:eastAsia="微软雅黑" w:cs="微软雅黑"/>
          <w:sz w:val="20"/>
          <w:szCs w:val="22"/>
          <w:lang w:val="en-US" w:eastAsia="zh-CN"/>
        </w:rPr>
        <w:t>校准</w:t>
      </w:r>
      <w:r>
        <w:rPr>
          <w:rFonts w:hint="eastAsia" w:ascii="微软雅黑" w:hAnsi="微软雅黑" w:eastAsia="微软雅黑" w:cs="微软雅黑"/>
          <w:sz w:val="20"/>
          <w:szCs w:val="22"/>
        </w:rPr>
        <w:t>的灵活性和便携性</w:t>
      </w:r>
    </w:p>
    <w:p w14:paraId="5CCB4D88">
      <w:pPr>
        <w:rPr>
          <w:rFonts w:hint="eastAsia" w:ascii="微软雅黑" w:hAnsi="微软雅黑" w:eastAsia="微软雅黑" w:cs="微软雅黑"/>
          <w:sz w:val="20"/>
          <w:szCs w:val="22"/>
        </w:rPr>
      </w:pPr>
      <w:r>
        <w:rPr>
          <w:rFonts w:hint="eastAsia" w:ascii="微软雅黑" w:hAnsi="微软雅黑" w:eastAsia="微软雅黑" w:cs="微软雅黑"/>
          <w:sz w:val="20"/>
          <w:szCs w:val="22"/>
          <w:lang w:eastAsia="zh-CN"/>
        </w:rPr>
        <w:drawing>
          <wp:inline distT="0" distB="0" distL="114300" distR="114300">
            <wp:extent cx="3218180" cy="2414905"/>
            <wp:effectExtent l="0" t="0" r="1270" b="4445"/>
            <wp:docPr id="3" name="图片 3" descr="61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00-G"/>
                    <pic:cNvPicPr>
                      <a:picLocks noChangeAspect="1"/>
                    </pic:cNvPicPr>
                  </pic:nvPicPr>
                  <pic:blipFill>
                    <a:blip r:embed="rId10"/>
                    <a:stretch>
                      <a:fillRect/>
                    </a:stretch>
                  </pic:blipFill>
                  <pic:spPr>
                    <a:xfrm>
                      <a:off x="0" y="0"/>
                      <a:ext cx="3218180" cy="2414905"/>
                    </a:xfrm>
                    <a:prstGeom prst="rect">
                      <a:avLst/>
                    </a:prstGeom>
                  </pic:spPr>
                </pic:pic>
              </a:graphicData>
            </a:graphic>
          </wp:inline>
        </w:drawing>
      </w:r>
    </w:p>
    <w:p w14:paraId="2C256994">
      <w:pPr>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（2）S8002D-G板卡</w:t>
      </w:r>
    </w:p>
    <w:p w14:paraId="365B2363">
      <w:pPr>
        <w:rPr>
          <w:rFonts w:hint="eastAsia" w:ascii="微软雅黑" w:hAnsi="微软雅黑" w:eastAsia="微软雅黑" w:cs="微软雅黑"/>
          <w:sz w:val="20"/>
          <w:szCs w:val="22"/>
        </w:rPr>
      </w:pPr>
      <w:r>
        <w:rPr>
          <w:rFonts w:hint="eastAsia" w:ascii="微软雅黑" w:hAnsi="微软雅黑" w:eastAsia="微软雅黑" w:cs="微软雅黑"/>
          <w:sz w:val="20"/>
          <w:szCs w:val="22"/>
        </w:rPr>
        <w:t>S8002D-G板卡是信而泰拥有领先架构的新一代测试板卡，支持帧头触发功能</w:t>
      </w:r>
      <w:r>
        <w:rPr>
          <w:rFonts w:hint="eastAsia" w:ascii="微软雅黑" w:hAnsi="微软雅黑" w:eastAsia="微软雅黑" w:cs="微软雅黑"/>
          <w:sz w:val="20"/>
          <w:szCs w:val="22"/>
          <w:vertAlign w:val="baseline"/>
          <w:lang w:val="en-US" w:eastAsia="zh-CN"/>
        </w:rPr>
        <w:t>（以太网端口检测到帧头，</w:t>
      </w:r>
      <w:r>
        <w:rPr>
          <w:rFonts w:hint="eastAsia" w:ascii="微软雅黑" w:hAnsi="微软雅黑" w:eastAsia="微软雅黑" w:cs="微软雅黑"/>
          <w:sz w:val="20"/>
          <w:szCs w:val="22"/>
        </w:rPr>
        <w:t>帧头触发</w:t>
      </w:r>
      <w:r>
        <w:rPr>
          <w:rFonts w:hint="eastAsia" w:ascii="微软雅黑" w:hAnsi="微软雅黑" w:eastAsia="微软雅黑" w:cs="微软雅黑"/>
          <w:sz w:val="20"/>
          <w:szCs w:val="22"/>
          <w:lang w:val="en-US" w:eastAsia="zh-CN"/>
        </w:rPr>
        <w:t>器将报文</w:t>
      </w:r>
      <w:r>
        <w:rPr>
          <w:rFonts w:hint="eastAsia" w:ascii="微软雅黑" w:hAnsi="微软雅黑" w:eastAsia="微软雅黑" w:cs="微软雅黑"/>
          <w:sz w:val="20"/>
          <w:szCs w:val="22"/>
          <w:vertAlign w:val="baseline"/>
          <w:lang w:val="en-US" w:eastAsia="zh-CN"/>
        </w:rPr>
        <w:t>转化为脉冲信号并通过BNC端口输出给频率计数器）</w:t>
      </w:r>
      <w:r>
        <w:rPr>
          <w:rFonts w:hint="eastAsia" w:ascii="微软雅黑" w:hAnsi="微软雅黑" w:eastAsia="微软雅黑" w:cs="微软雅黑"/>
          <w:sz w:val="20"/>
          <w:szCs w:val="22"/>
        </w:rPr>
        <w:t>和时延发生功能，可为数据网络性能测试仪提供校准依据</w:t>
      </w:r>
      <w:r>
        <w:rPr>
          <w:rFonts w:hint="eastAsia" w:ascii="微软雅黑" w:hAnsi="微软雅黑" w:eastAsia="微软雅黑" w:cs="微软雅黑"/>
          <w:sz w:val="20"/>
          <w:szCs w:val="22"/>
          <w:lang w:eastAsia="zh-CN"/>
        </w:rPr>
        <w:t>，</w:t>
      </w:r>
      <w:r>
        <w:rPr>
          <w:rFonts w:hint="eastAsia" w:ascii="微软雅黑" w:hAnsi="微软雅黑" w:eastAsia="微软雅黑" w:cs="微软雅黑"/>
          <w:sz w:val="20"/>
          <w:szCs w:val="22"/>
          <w:lang w:val="en-US" w:eastAsia="zh-CN"/>
        </w:rPr>
        <w:t>端口</w:t>
      </w:r>
      <w:r>
        <w:rPr>
          <w:rFonts w:hint="eastAsia" w:ascii="微软雅黑" w:hAnsi="微软雅黑" w:eastAsia="微软雅黑" w:cs="微软雅黑"/>
          <w:sz w:val="20"/>
          <w:szCs w:val="22"/>
        </w:rPr>
        <w:t>支持原生SPF+/SPF 10G/1G</w:t>
      </w:r>
    </w:p>
    <w:p w14:paraId="48C258A7">
      <w:pPr>
        <w:jc w:val="both"/>
        <w:rPr>
          <w:rFonts w:hint="eastAsia" w:ascii="微软雅黑" w:hAnsi="微软雅黑" w:eastAsia="微软雅黑" w:cs="微软雅黑"/>
          <w:sz w:val="20"/>
          <w:szCs w:val="22"/>
        </w:rPr>
      </w:pPr>
    </w:p>
    <w:p w14:paraId="06FD58A1">
      <w:pPr>
        <w:jc w:val="center"/>
        <w:rPr>
          <w:rFonts w:hint="eastAsia" w:ascii="微软雅黑" w:hAnsi="微软雅黑" w:eastAsia="微软雅黑" w:cs="微软雅黑"/>
          <w:sz w:val="20"/>
          <w:szCs w:val="22"/>
          <w:lang w:eastAsia="zh-CN"/>
        </w:rPr>
      </w:pPr>
      <w:r>
        <w:rPr>
          <w:rFonts w:hint="eastAsia" w:ascii="微软雅黑" w:hAnsi="微软雅黑" w:eastAsia="微软雅黑" w:cs="微软雅黑"/>
          <w:sz w:val="20"/>
          <w:szCs w:val="22"/>
          <w:lang w:eastAsia="zh-CN"/>
        </w:rPr>
        <w:drawing>
          <wp:inline distT="0" distB="0" distL="114300" distR="114300">
            <wp:extent cx="5269230" cy="4098290"/>
            <wp:effectExtent l="0" t="0" r="7620" b="16510"/>
            <wp:docPr id="4" name="图片 4" descr="新板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板卡"/>
                    <pic:cNvPicPr>
                      <a:picLocks noChangeAspect="1"/>
                    </pic:cNvPicPr>
                  </pic:nvPicPr>
                  <pic:blipFill>
                    <a:blip r:embed="rId11"/>
                    <a:stretch>
                      <a:fillRect/>
                    </a:stretch>
                  </pic:blipFill>
                  <pic:spPr>
                    <a:xfrm>
                      <a:off x="0" y="0"/>
                      <a:ext cx="5269230" cy="4098290"/>
                    </a:xfrm>
                    <a:prstGeom prst="rect">
                      <a:avLst/>
                    </a:prstGeom>
                  </pic:spPr>
                </pic:pic>
              </a:graphicData>
            </a:graphic>
          </wp:inline>
        </w:drawing>
      </w:r>
    </w:p>
    <w:p w14:paraId="12B174E8">
      <w:pPr>
        <w:jc w:val="center"/>
        <w:rPr>
          <w:rFonts w:hint="eastAsia" w:ascii="微软雅黑" w:hAnsi="微软雅黑" w:eastAsia="微软雅黑" w:cs="微软雅黑"/>
          <w:sz w:val="20"/>
          <w:szCs w:val="22"/>
        </w:rPr>
      </w:pPr>
    </w:p>
    <w:p w14:paraId="741D4535">
      <w:pPr>
        <w:jc w:val="center"/>
        <w:rPr>
          <w:rFonts w:hint="eastAsia" w:ascii="微软雅黑" w:hAnsi="微软雅黑" w:eastAsia="微软雅黑" w:cs="微软雅黑"/>
          <w:sz w:val="20"/>
          <w:szCs w:val="22"/>
        </w:rPr>
      </w:pPr>
    </w:p>
    <w:p w14:paraId="7044E5FD">
      <w:pPr>
        <w:jc w:val="center"/>
        <w:rPr>
          <w:rFonts w:hint="eastAsia" w:ascii="微软雅黑" w:hAnsi="微软雅黑" w:eastAsia="微软雅黑" w:cs="微软雅黑"/>
          <w:sz w:val="20"/>
          <w:szCs w:val="22"/>
        </w:rPr>
      </w:pPr>
    </w:p>
    <w:p w14:paraId="29D34149">
      <w:pPr>
        <w:jc w:val="center"/>
        <w:rPr>
          <w:rFonts w:hint="eastAsia" w:ascii="微软雅黑" w:hAnsi="微软雅黑" w:eastAsia="微软雅黑" w:cs="微软雅黑"/>
          <w:sz w:val="20"/>
          <w:szCs w:val="22"/>
        </w:rPr>
      </w:pPr>
    </w:p>
    <w:p w14:paraId="2CCD9060">
      <w:pPr>
        <w:jc w:val="center"/>
        <w:rPr>
          <w:rFonts w:hint="eastAsia" w:ascii="微软雅黑" w:hAnsi="微软雅黑" w:eastAsia="微软雅黑" w:cs="微软雅黑"/>
          <w:sz w:val="20"/>
          <w:szCs w:val="22"/>
        </w:rPr>
      </w:pPr>
    </w:p>
    <w:p w14:paraId="2D025ACE">
      <w:pPr>
        <w:jc w:val="center"/>
        <w:rPr>
          <w:rFonts w:hint="eastAsia" w:ascii="微软雅黑" w:hAnsi="微软雅黑" w:eastAsia="微软雅黑" w:cs="微软雅黑"/>
          <w:sz w:val="20"/>
          <w:szCs w:val="22"/>
        </w:rPr>
      </w:pPr>
    </w:p>
    <w:p w14:paraId="418B5499">
      <w:pPr>
        <w:rPr>
          <w:rFonts w:hint="eastAsia" w:ascii="微软雅黑" w:hAnsi="微软雅黑" w:eastAsia="微软雅黑" w:cs="微软雅黑"/>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7262E"/>
    <w:multiLevelType w:val="singleLevel"/>
    <w:tmpl w:val="A237262E"/>
    <w:lvl w:ilvl="0" w:tentative="0">
      <w:start w:val="1"/>
      <w:numFmt w:val="decimal"/>
      <w:suff w:val="nothing"/>
      <w:lvlText w:val="%1、"/>
      <w:lvlJc w:val="left"/>
    </w:lvl>
  </w:abstractNum>
  <w:abstractNum w:abstractNumId="1">
    <w:nsid w:val="B5F0CC01"/>
    <w:multiLevelType w:val="singleLevel"/>
    <w:tmpl w:val="B5F0CC01"/>
    <w:lvl w:ilvl="0" w:tentative="0">
      <w:start w:val="1"/>
      <w:numFmt w:val="decimal"/>
      <w:suff w:val="nothing"/>
      <w:lvlText w:val="（%1）"/>
      <w:lvlJc w:val="left"/>
    </w:lvl>
  </w:abstractNum>
  <w:abstractNum w:abstractNumId="2">
    <w:nsid w:val="D6A7C4CD"/>
    <w:multiLevelType w:val="singleLevel"/>
    <w:tmpl w:val="D6A7C4C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YmUzYTNkZTZlYTcxYmU3NTE5MmM3Nzk0NDY1MWQifQ=="/>
  </w:docVars>
  <w:rsids>
    <w:rsidRoot w:val="00000000"/>
    <w:rsid w:val="00725A58"/>
    <w:rsid w:val="01DA4AC6"/>
    <w:rsid w:val="083429D0"/>
    <w:rsid w:val="0A0F4BBF"/>
    <w:rsid w:val="0D2C216F"/>
    <w:rsid w:val="0FA337B5"/>
    <w:rsid w:val="10860642"/>
    <w:rsid w:val="114F1532"/>
    <w:rsid w:val="14551D69"/>
    <w:rsid w:val="156E5C21"/>
    <w:rsid w:val="167A24E7"/>
    <w:rsid w:val="201E0271"/>
    <w:rsid w:val="202A22FB"/>
    <w:rsid w:val="23F63E40"/>
    <w:rsid w:val="25151BA3"/>
    <w:rsid w:val="2946266B"/>
    <w:rsid w:val="2A7946C6"/>
    <w:rsid w:val="2BD0493B"/>
    <w:rsid w:val="2F916313"/>
    <w:rsid w:val="2FCF6BB3"/>
    <w:rsid w:val="36EF4682"/>
    <w:rsid w:val="3A0118E1"/>
    <w:rsid w:val="3A747196"/>
    <w:rsid w:val="3C3D4158"/>
    <w:rsid w:val="423127FD"/>
    <w:rsid w:val="42A653BA"/>
    <w:rsid w:val="44D32DBE"/>
    <w:rsid w:val="48A4239B"/>
    <w:rsid w:val="4A9B5A20"/>
    <w:rsid w:val="4C545E87"/>
    <w:rsid w:val="4CB846AC"/>
    <w:rsid w:val="52410C5B"/>
    <w:rsid w:val="559669A1"/>
    <w:rsid w:val="57C84CF5"/>
    <w:rsid w:val="5F320CFB"/>
    <w:rsid w:val="61AB354E"/>
    <w:rsid w:val="65C2575B"/>
    <w:rsid w:val="66E53472"/>
    <w:rsid w:val="67195790"/>
    <w:rsid w:val="67BD6B7E"/>
    <w:rsid w:val="688D6F0F"/>
    <w:rsid w:val="6DCF758A"/>
    <w:rsid w:val="70095D9A"/>
    <w:rsid w:val="75502DDF"/>
    <w:rsid w:val="757C4934"/>
    <w:rsid w:val="75BE5F9B"/>
    <w:rsid w:val="78EB5DDF"/>
    <w:rsid w:val="7B203B02"/>
    <w:rsid w:val="7D292F43"/>
    <w:rsid w:val="7E37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1403</Words>
  <Characters>1502</Characters>
  <Lines>0</Lines>
  <Paragraphs>0</Paragraphs>
  <TotalTime>1</TotalTime>
  <ScaleCrop>false</ScaleCrop>
  <LinksUpToDate>false</LinksUpToDate>
  <CharactersWithSpaces>1504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2024-05-13T03:11:00Z</dcterms:created>
  <dc:creator>17876</dc:creator>
  <cp:lastModifiedBy>王蓉壹</cp:lastModifiedBy>
  <dcterms:modified xsi:type="dcterms:W3CDTF">2024-12-16T09:01:58Z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30CCBB5A089E4C549B6FD908873F48E0_12</vt:lpwstr>
  </property>
</Properties>
</file>