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C3" w:rsidRPr="006E59C3" w:rsidRDefault="006E59C3" w:rsidP="006E59C3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6E59C3">
        <w:rPr>
          <w:rFonts w:ascii="宋体" w:eastAsia="宋体" w:hAnsi="宋体" w:cs="宋体" w:hint="eastAsia"/>
          <w:b/>
          <w:bCs/>
          <w:color w:val="000000" w:themeColor="text1"/>
          <w:kern w:val="36"/>
          <w:sz w:val="28"/>
          <w:szCs w:val="28"/>
        </w:rPr>
        <w:t>从中央政治局会议剖析 2025 年智能制造设备更新新趋向</w:t>
      </w:r>
    </w:p>
    <w:bookmarkEnd w:id="0"/>
    <w:p w:rsidR="006E59C3" w:rsidRPr="006E59C3" w:rsidRDefault="006E59C3" w:rsidP="006E59C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来源：新华社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12月9日，中共中央政治局召开会议，分析研究2025年经济工作。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会议总结分析今年经济工作，全面客观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研判当前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经济发展形势，对明年经济工作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作出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一系列部署，必将进一步坚定各方发展信心，积极主动应对困难挑战，巩固增强经济回升向好态势，为实现“十五五”良好开局打牢基础。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会议对明年经济工作的总基调与总目标为：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坚持稳中求进工作总基调；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完整准确全面贯彻新发展理念，加快构建新发展格局，扎实推动高质量发展；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一步全面深化改革，扩大高水平对外开放；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建设现代化产业体系；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 更好统筹发展和安全；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 实施更加积极有为的宏观政策；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 扩大国内需求；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 推动科技创新和产业创新融合发展；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9. 稳住楼市股市；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10. 防范化解重点领域风险和外部冲击；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11. 稳定预期、激发活力；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12. 推动经济持续回升向好；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13. 不断提高人民生活水平，保持社会和谐稳定；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14. 高质量完成“十四五”规划目标任务，为实现“十五五”良好开局打牢基础。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其中针对智能制造领域的相关利好如雨后春笋般出现，小编整理之中的重点，望与制造业相关从业者同进步。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“两新”工作：7个重点领域设备更新与3大类重点消费品以旧换新，明年将继续加大支持力度、扩大支持范围。这其中工业领域的设备更新对于</w:t>
      </w:r>
      <w:hyperlink r:id="rId5" w:tgtFrame="_blank" w:history="1">
        <w:r w:rsidRPr="006E59C3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智能制造设备更新</w:t>
        </w:r>
      </w:hyperlink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有着关键的推动作用，是构建现代化产业体系的重要环节。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10月8日，国新办新闻发布会上，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发改委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主任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郑栅洁在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明确下阶段“进一步扩大内需”工作中消费方面重点指出，“结合‘两新’推动大宗商品消费持续扩大。大规模设备更新和消费品以旧换新工作，不仅有利于释放需求潜力，更有利于促进节能降碳、推动全面绿色转型”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月14日，国新办新闻发布会上，工信部副部长王江平指出，“为了推动电动自行车以旧换新工作，我们制定实施电动自行车锂电池、充电器、电气安全等强制性国家标准，分两批发布31家符合规范条件的电动自行车企业名单”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11月19日，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国家发改委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11月份新闻发布会上，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发改委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政策研究室副主任李超在展望2025年市场空间部分指出，“‘两新’工作开展以来，国家发展改革委加强统筹协调，截至目前，已经推动各方面出台实施细则近300项，持续发挥超长期特别国债资金引导带动作用”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在消费品换新方面，1500亿超长期特别国债重点支持方向为汽车、家电、家居。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李超副主任指出，“消费品以旧换新包括汽车、家电、家居等3大类重点产品，我们推动各地用好1500亿元超长期特别国债资金，实实在在地支持消费者对更优质、更智能、更环保产品的需求”。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在设备更新方面，1500亿元超长期特别国债聚焦于工业、农业、建筑、教育、交通、文旅、医疗等7个重点领域。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李超副主任指出，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设备更新政策聚焦工业、农业、建筑、教育、交通、文旅、医疗等7个重点领域，拿出1500亿元超长期特别国债资金直接安排到项目，同时在能耗、污染物排放等方面发布112项标准，支持企业开展工艺更新、数字赋能、绿色转型，促进产业向“新”向“绿”发展，有力推动传统产业转型升级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以科技创新塑造产业发展新优势</w:t>
      </w:r>
    </w:p>
    <w:p w:rsidR="006E59C3" w:rsidRPr="006E59C3" w:rsidRDefault="006E59C3" w:rsidP="006E59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会议提出，要以科技创新引领新质生产力发展，建设现代化产业体系。而</w:t>
      </w:r>
      <w:r w:rsidRPr="006E59C3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智能制造设备更新</w:t>
      </w:r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正是科技创新在制造领域的重要体现，它有助于改造提升传统产业，推动传统产业</w:t>
      </w:r>
      <w:proofErr w:type="gramStart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向数智化</w:t>
      </w:r>
      <w:proofErr w:type="gramEnd"/>
      <w:r w:rsidRPr="006E59C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、绿色化、安全化方向转型升级，为制造业的高质量发展奠定坚实基础。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今年以来，我国新质生产力稳步发展，产业结构持续优化：前三季度，全国规模以上高技术制造业增加值同比增长9.1%，高技术产业投资同比增长10%，光电子器件、虚拟现实设备等产品产量保持两位数增长……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中国社会科学院工业经济研究所副研究员李伟表示，科技创新是发展新质生产力的核心要素。会议的系列部署，将进一步促进创新驱动发展战略深入实施，推动实体经济与数字经济、先进制造业与现代服务业融合发展，培育新质生产力形成更多新的增长点，持续推动新旧动能加快转换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党的二十届三中全会提出，加强创新资源统筹和力量组织，推动科技创新和产业创新融合发展。此次会议再次强调“推动科技创新和产业创新融合发展”。而发展新质生产力在产业层面落实的重点为：改造提升传统产业，培育壮大新兴产业，布局建设未来产业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对于锂电：6月19日，工信部发布《锂离子电池行业规范条件》，提出引导企业减少单纯扩大产能的制造项目。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对于光伏：11月20日，工信部对《光伏制造行业规范条件》和《光伏制造行业规范公告管理暂行办法》进行了修订。引导光</w:t>
      </w:r>
      <w:proofErr w:type="gramStart"/>
      <w:r w:rsidRPr="006E59C3">
        <w:rPr>
          <w:color w:val="000000" w:themeColor="text1"/>
        </w:rPr>
        <w:t>伏企业</w:t>
      </w:r>
      <w:proofErr w:type="gramEnd"/>
      <w:r w:rsidRPr="006E59C3">
        <w:rPr>
          <w:color w:val="000000" w:themeColor="text1"/>
        </w:rPr>
        <w:t>减少单纯扩大产能的光</w:t>
      </w:r>
      <w:proofErr w:type="gramStart"/>
      <w:r w:rsidRPr="006E59C3">
        <w:rPr>
          <w:color w:val="000000" w:themeColor="text1"/>
        </w:rPr>
        <w:t>伏制造</w:t>
      </w:r>
      <w:proofErr w:type="gramEnd"/>
      <w:r w:rsidRPr="006E59C3">
        <w:rPr>
          <w:color w:val="000000" w:themeColor="text1"/>
        </w:rPr>
        <w:t>项目，加强技术创新、提高产品质量、降低生产成本。新建和改扩建光</w:t>
      </w:r>
      <w:proofErr w:type="gramStart"/>
      <w:r w:rsidRPr="006E59C3">
        <w:rPr>
          <w:color w:val="000000" w:themeColor="text1"/>
        </w:rPr>
        <w:t>伏制造</w:t>
      </w:r>
      <w:proofErr w:type="gramEnd"/>
      <w:r w:rsidRPr="006E59C3">
        <w:rPr>
          <w:color w:val="000000" w:themeColor="text1"/>
        </w:rPr>
        <w:t>项目，最低资本金比例为30%。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关于取消及下调出口退税：2024年12月1日起，取消铝材、铜材以及化学改性的动、植物或微生物油、脂等产品出口退税；将部分成品油、光伏、电池、部分非金属矿物制品的出口退税率由13%下调至9%。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其次，关于改造提升传统产业，大规模设备更新工作便是传统产业优化升级的具体抓手，升级的重点方向为数智化、绿色化、安全化。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6E59C3">
        <w:rPr>
          <w:color w:val="000000" w:themeColor="text1"/>
        </w:rPr>
        <w:t>“科技创新是产业创新的内生动力，产业创新是科技创新的价值实现，两者互为牵引、互促共进。”李伟表示，推动科技创新和产业创新深度融合是一项系统工程，一方面要实现关键核心技术突破、促进原始创新能力提升，另一方面要在健全体制机制上下功夫，强化企业科技创新主体地位，打通科学技术产业化的通道，大力推动科技成果产业化。</w:t>
      </w:r>
    </w:p>
    <w:p w:rsidR="006E59C3" w:rsidRPr="006E59C3" w:rsidRDefault="006E59C3" w:rsidP="006E59C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</w:p>
    <w:p w:rsidR="00A60698" w:rsidRPr="006E59C3" w:rsidRDefault="00A60698" w:rsidP="006E59C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A60698" w:rsidRPr="006E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0"/>
    <w:rsid w:val="00663A90"/>
    <w:rsid w:val="006E59C3"/>
    <w:rsid w:val="00A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59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59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5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5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59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59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5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5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922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861718.com/zix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1961</Characters>
  <Application>Microsoft Office Word</Application>
  <DocSecurity>0</DocSecurity>
  <Lines>16</Lines>
  <Paragraphs>4</Paragraphs>
  <ScaleCrop>false</ScaleCrop>
  <Company>Organization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2024-12-20T01:17:00Z</dcterms:created>
  <dcterms:modified xsi:type="dcterms:W3CDTF">2024-12-20T01:20:00Z</dcterms:modified>
</cp:coreProperties>
</file>