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639C4" w:rsidRDefault="001639C4" w:rsidP="001639C4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1639C4">
        <w:rPr>
          <w:rFonts w:ascii="黑体" w:eastAsia="黑体" w:hAnsi="黑体" w:hint="eastAsia"/>
          <w:b/>
          <w:color w:val="000000" w:themeColor="text1"/>
          <w:sz w:val="28"/>
          <w:szCs w:val="28"/>
        </w:rPr>
        <w:t>优化中国科技制造业融资环境</w:t>
      </w:r>
    </w:p>
    <w:bookmarkEnd w:id="0"/>
    <w:p w:rsidR="001639C4" w:rsidRPr="001639C4" w:rsidRDefault="001639C4" w:rsidP="001639C4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1639C4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作者：邱江勇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2025年全国两会召开之际，全国人大代表，TCL创始人、董事长李东生接受了《中国电子报》等媒体的专访。李东生表示，TCL一直坚持为未来投资，民营经济向好，整个经营大环境向好，大家对发展要充满信心。不久前，TCL正式成为奥林匹克全球合作伙伴，这让其全球化叙事又多了一个新注脚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今年全国两会上，李东生再一次提及优化中国科技制造业融资环境。他对此解释道，与全球领先的科技企业相比，中国科技制造业还处于追赶超越阶段，特别是集成电路制造、半导体显示及新能源汽车等产业。在这个阶段，中国的集成电路、半导体显示没有足够融资支持的话，很难发展起来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李东生以台积电、三星半导体举例，它们拥有的总资产、净资产远远超过竞争对手，每年产生的经营现金流、利润都非常大，不依靠对外融资就可以支撑自身的投资计划。而中国这些投资主体的发展还远没有到台积电、三星半导体的水平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过去4年，TCL华星新增固定资产投资1080亿元，在半导体显示产业累计投资2700亿元。“科技制造业是整个中国制造业竞争力的基础，如果中国没有面板产业，就不可能有现在中国消费电子产业链在全球市场的地位。”李东生表示，这些产业投入资本金大、回收周期长，且需持续投资，亟需相应的权益性资本融资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为此，李东生提出三点建议：一是对头部科技制造业提供资本市场的创新服务和支持；二是对头部科技制造业适度放宽股权融资限制；三是按照明确的法规审批项目，提高资本市场融资的可预期性。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“未来3-5年，融资对我们来讲还是发展的一个必要条件，这能建立和巩固中国企业、中国科技制造业在全球的领先地位。”李东生做了“大胆预测”，“5年后，TCL华星也好，京东方也好，我们不需要再依靠资本市场再融资来发展，我们自身的资金就足够来滚动了。”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李东生认为，中国科技制造业已具备性价比和质量的双重优势，之前在成本效率方面有优势，现在技术创新方面也快速赶上了，“</w:t>
      </w:r>
      <w:proofErr w:type="spellStart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就是我们在大数据、人工智能大模型方面跑出来的一个新技术”。据了解，TCL通过AI技术的多</w:t>
      </w: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场景落地应用，2024年已创造经济效益超过5.4亿元。TCL已经把AI技术应用到生产制造供应链的智能化改造，并导入产品的设计研发。李东生强调，AI技术的真正价值在于应用。</w:t>
      </w:r>
    </w:p>
    <w:p w:rsidR="001639C4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“我们在制造方面的AI应用一直在进行，而且取得了比较好的效果。”李东生告诉记者，借助</w:t>
      </w:r>
      <w:proofErr w:type="spellStart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大模型技术，有可能把TCL的</w:t>
      </w:r>
      <w:proofErr w:type="gramStart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算力中心</w:t>
      </w:r>
      <w:proofErr w:type="gramEnd"/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做得更大，更好地支撑企业的智能化发展。</w:t>
      </w:r>
    </w:p>
    <w:p w:rsidR="00D02623" w:rsidRPr="001639C4" w:rsidRDefault="001639C4" w:rsidP="001639C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639C4">
        <w:rPr>
          <w:rFonts w:ascii="宋体" w:eastAsia="宋体" w:hAnsi="宋体" w:hint="eastAsia"/>
          <w:color w:val="000000" w:themeColor="text1"/>
          <w:sz w:val="24"/>
          <w:szCs w:val="24"/>
        </w:rPr>
        <w:t>李东生也指出，随着生成式人工智能技术的发展，深度伪造技术也快速发展。他建议从加快出台管理规章制度，明确惩罚制度、标识技术标准和发布管理、国际合作等方面，加强AI深度伪造欺诈管理。</w:t>
      </w:r>
    </w:p>
    <w:sectPr w:rsidR="00D02623" w:rsidRPr="0016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A"/>
    <w:rsid w:val="000763EE"/>
    <w:rsid w:val="001639C4"/>
    <w:rsid w:val="001E2470"/>
    <w:rsid w:val="00255EF1"/>
    <w:rsid w:val="0031467B"/>
    <w:rsid w:val="00484D36"/>
    <w:rsid w:val="00692EAA"/>
    <w:rsid w:val="00703FE1"/>
    <w:rsid w:val="00804B5B"/>
    <w:rsid w:val="008E5C5E"/>
    <w:rsid w:val="009066AF"/>
    <w:rsid w:val="00AA1D4A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>Organization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2025-03-05T06:48:00Z</dcterms:created>
  <dcterms:modified xsi:type="dcterms:W3CDTF">2025-03-05T06:50:00Z</dcterms:modified>
</cp:coreProperties>
</file>