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255" w:rsidRPr="00837255" w:rsidRDefault="00837255" w:rsidP="00837255">
      <w:pPr>
        <w:spacing w:line="360" w:lineRule="auto"/>
        <w:jc w:val="center"/>
        <w:rPr>
          <w:rFonts w:ascii="黑体" w:eastAsia="黑体" w:hAnsi="黑体" w:hint="eastAsia"/>
          <w:b/>
          <w:color w:val="000000" w:themeColor="text1"/>
          <w:sz w:val="28"/>
          <w:szCs w:val="28"/>
        </w:rPr>
      </w:pPr>
      <w:bookmarkStart w:id="0" w:name="_GoBack"/>
      <w:bookmarkEnd w:id="0"/>
      <w:r w:rsidRPr="00837255">
        <w:rPr>
          <w:rFonts w:ascii="黑体" w:eastAsia="黑体" w:hAnsi="黑体" w:hint="eastAsia"/>
          <w:b/>
          <w:color w:val="000000" w:themeColor="text1"/>
          <w:sz w:val="28"/>
          <w:szCs w:val="28"/>
        </w:rPr>
        <w:t>支持民营企业技术研发与创新平台建设</w:t>
      </w:r>
    </w:p>
    <w:p w:rsidR="00837255" w:rsidRPr="00837255" w:rsidRDefault="00837255" w:rsidP="00837255">
      <w:pPr>
        <w:spacing w:line="360" w:lineRule="auto"/>
        <w:jc w:val="center"/>
        <w:rPr>
          <w:rFonts w:ascii="宋体" w:eastAsia="宋体" w:hAnsi="宋体"/>
          <w:color w:val="000000" w:themeColor="text1"/>
          <w:sz w:val="24"/>
          <w:szCs w:val="24"/>
        </w:rPr>
      </w:pPr>
      <w:r w:rsidRPr="00837255">
        <w:rPr>
          <w:rFonts w:ascii="宋体" w:eastAsia="宋体" w:hAnsi="宋体" w:hint="eastAsia"/>
          <w:color w:val="000000" w:themeColor="text1"/>
          <w:sz w:val="24"/>
          <w:szCs w:val="24"/>
        </w:rPr>
        <w:t>来源：中国电子报、电子信息</w:t>
      </w:r>
      <w:proofErr w:type="gramStart"/>
      <w:r w:rsidRPr="00837255">
        <w:rPr>
          <w:rFonts w:ascii="宋体" w:eastAsia="宋体" w:hAnsi="宋体" w:hint="eastAsia"/>
          <w:color w:val="000000" w:themeColor="text1"/>
          <w:sz w:val="24"/>
          <w:szCs w:val="24"/>
        </w:rPr>
        <w:t>产业网</w:t>
      </w:r>
      <w:proofErr w:type="gramEnd"/>
      <w:r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 </w:t>
      </w:r>
      <w:r w:rsidRPr="00837255">
        <w:rPr>
          <w:rFonts w:ascii="宋体" w:eastAsia="宋体" w:hAnsi="宋体" w:hint="eastAsia"/>
          <w:color w:val="000000" w:themeColor="text1"/>
          <w:kern w:val="0"/>
          <w:sz w:val="24"/>
          <w:szCs w:val="24"/>
        </w:rPr>
        <w:t>作者</w:t>
      </w:r>
      <w:r>
        <w:rPr>
          <w:rFonts w:ascii="宋体" w:eastAsia="宋体" w:hAnsi="宋体" w:hint="eastAsia"/>
          <w:color w:val="000000" w:themeColor="text1"/>
          <w:kern w:val="0"/>
          <w:sz w:val="24"/>
          <w:szCs w:val="24"/>
        </w:rPr>
        <w:t xml:space="preserve"> </w:t>
      </w:r>
      <w:r w:rsidRPr="00837255">
        <w:rPr>
          <w:rFonts w:ascii="宋体" w:eastAsia="宋体" w:hAnsi="宋体" w:hint="eastAsia"/>
          <w:color w:val="000000" w:themeColor="text1"/>
          <w:kern w:val="0"/>
          <w:sz w:val="24"/>
          <w:szCs w:val="24"/>
        </w:rPr>
        <w:t>张心怡</w:t>
      </w:r>
    </w:p>
    <w:p w:rsidR="00837255" w:rsidRPr="00837255" w:rsidRDefault="00837255" w:rsidP="00837255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837255">
        <w:rPr>
          <w:rFonts w:ascii="宋体" w:eastAsia="宋体" w:hAnsi="宋体" w:hint="eastAsia"/>
          <w:color w:val="000000" w:themeColor="text1"/>
          <w:sz w:val="24"/>
          <w:szCs w:val="24"/>
        </w:rPr>
        <w:t>新兴产业和未来产业是塑造产业升级新引擎、培育经济增长新动能的主阵地。在培育壮大新产业的过程中，民营企业正在跑出加速度。围绕更好支持民营企业竞逐新产业新赛道，《中国电子报》采访了全国政协委员、</w:t>
      </w:r>
      <w:proofErr w:type="gramStart"/>
      <w:r w:rsidRPr="00837255">
        <w:rPr>
          <w:rFonts w:ascii="宋体" w:eastAsia="宋体" w:hAnsi="宋体" w:hint="eastAsia"/>
          <w:color w:val="000000" w:themeColor="text1"/>
          <w:sz w:val="24"/>
          <w:szCs w:val="24"/>
        </w:rPr>
        <w:t>恒银科技</w:t>
      </w:r>
      <w:proofErr w:type="gramEnd"/>
      <w:r w:rsidRPr="00837255">
        <w:rPr>
          <w:rFonts w:ascii="宋体" w:eastAsia="宋体" w:hAnsi="宋体" w:hint="eastAsia"/>
          <w:color w:val="000000" w:themeColor="text1"/>
          <w:sz w:val="24"/>
          <w:szCs w:val="24"/>
        </w:rPr>
        <w:t>董事长江浩然。</w:t>
      </w:r>
    </w:p>
    <w:p w:rsidR="00837255" w:rsidRPr="00837255" w:rsidRDefault="00837255" w:rsidP="00837255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837255">
        <w:rPr>
          <w:rFonts w:ascii="宋体" w:eastAsia="宋体" w:hAnsi="宋体" w:hint="eastAsia"/>
          <w:color w:val="000000" w:themeColor="text1"/>
          <w:sz w:val="24"/>
          <w:szCs w:val="24"/>
        </w:rPr>
        <w:t>今年年初，大模型公司</w:t>
      </w:r>
      <w:proofErr w:type="spellStart"/>
      <w:r w:rsidRPr="00837255">
        <w:rPr>
          <w:rFonts w:ascii="宋体" w:eastAsia="宋体" w:hAnsi="宋体" w:hint="eastAsia"/>
          <w:color w:val="000000" w:themeColor="text1"/>
          <w:sz w:val="24"/>
          <w:szCs w:val="24"/>
        </w:rPr>
        <w:t>DeepSeek</w:t>
      </w:r>
      <w:proofErr w:type="spellEnd"/>
      <w:r w:rsidRPr="00837255">
        <w:rPr>
          <w:rFonts w:ascii="宋体" w:eastAsia="宋体" w:hAnsi="宋体" w:hint="eastAsia"/>
          <w:color w:val="000000" w:themeColor="text1"/>
          <w:sz w:val="24"/>
          <w:szCs w:val="24"/>
        </w:rPr>
        <w:t>（深度求索）、人形机器人</w:t>
      </w:r>
      <w:proofErr w:type="gramStart"/>
      <w:r w:rsidRPr="00837255">
        <w:rPr>
          <w:rFonts w:ascii="宋体" w:eastAsia="宋体" w:hAnsi="宋体" w:hint="eastAsia"/>
          <w:color w:val="000000" w:themeColor="text1"/>
          <w:sz w:val="24"/>
          <w:szCs w:val="24"/>
        </w:rPr>
        <w:t>公司宇树科技</w:t>
      </w:r>
      <w:proofErr w:type="gramEnd"/>
      <w:r w:rsidRPr="00837255">
        <w:rPr>
          <w:rFonts w:ascii="宋体" w:eastAsia="宋体" w:hAnsi="宋体" w:hint="eastAsia"/>
          <w:color w:val="000000" w:themeColor="text1"/>
          <w:sz w:val="24"/>
          <w:szCs w:val="24"/>
        </w:rPr>
        <w:t>、</w:t>
      </w:r>
      <w:proofErr w:type="gramStart"/>
      <w:r w:rsidRPr="00837255">
        <w:rPr>
          <w:rFonts w:ascii="宋体" w:eastAsia="宋体" w:hAnsi="宋体" w:hint="eastAsia"/>
          <w:color w:val="000000" w:themeColor="text1"/>
          <w:sz w:val="24"/>
          <w:szCs w:val="24"/>
        </w:rPr>
        <w:t>脑机接口公司强脑科技</w:t>
      </w:r>
      <w:proofErr w:type="gramEnd"/>
      <w:r w:rsidRPr="00837255">
        <w:rPr>
          <w:rFonts w:ascii="宋体" w:eastAsia="宋体" w:hAnsi="宋体" w:hint="eastAsia"/>
          <w:color w:val="000000" w:themeColor="text1"/>
          <w:sz w:val="24"/>
          <w:szCs w:val="24"/>
        </w:rPr>
        <w:t>等六家科技新贵爆火出圈，被合称为杭州“六小龙”，也让全社会关注到科技型民营企业在新产业的活力和潜力。江浩然表示，在培育壮大新兴产业和未来产业的过程中，民营企业是创新的探索者、市场的开拓者、新兴产业的推动者和就业岗位的创造者，具有三个优势。</w:t>
      </w:r>
    </w:p>
    <w:p w:rsidR="00837255" w:rsidRPr="00837255" w:rsidRDefault="00837255" w:rsidP="00837255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837255">
        <w:rPr>
          <w:rFonts w:ascii="宋体" w:eastAsia="宋体" w:hAnsi="宋体" w:hint="eastAsia"/>
          <w:color w:val="000000" w:themeColor="text1"/>
          <w:sz w:val="24"/>
          <w:szCs w:val="24"/>
        </w:rPr>
        <w:t>一是创新机制灵活，决策流程相对简单，能够快速响应市场变化和技术趋势，及时调整研发方向和创新策略。</w:t>
      </w:r>
    </w:p>
    <w:p w:rsidR="00837255" w:rsidRPr="00837255" w:rsidRDefault="00837255" w:rsidP="00837255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837255">
        <w:rPr>
          <w:rFonts w:ascii="宋体" w:eastAsia="宋体" w:hAnsi="宋体" w:hint="eastAsia"/>
          <w:color w:val="000000" w:themeColor="text1"/>
          <w:sz w:val="24"/>
          <w:szCs w:val="24"/>
        </w:rPr>
        <w:t>二是市场敏感度高。由于长期活跃在市场一线，对市场需求的细微变化和潜在需求有着敏锐的洞察力，能够准确把握市场趋势，快速将新技术、新创意转化为市场所需的产品和服务，实现科技成果的快速商业化转化。</w:t>
      </w:r>
    </w:p>
    <w:p w:rsidR="00837255" w:rsidRPr="00837255" w:rsidRDefault="00837255" w:rsidP="00837255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837255">
        <w:rPr>
          <w:rFonts w:ascii="宋体" w:eastAsia="宋体" w:hAnsi="宋体" w:hint="eastAsia"/>
          <w:color w:val="000000" w:themeColor="text1"/>
          <w:sz w:val="24"/>
          <w:szCs w:val="24"/>
        </w:rPr>
        <w:t>三是成本的控制能力比较强，具有较强的成本意识和灵活的成本管理手段。能够通过优化生产流程、降低运营成本等方式，在新兴产业和未来产业的竞争中，以更具性价比的产品和服务赢得市场份额。</w:t>
      </w:r>
    </w:p>
    <w:p w:rsidR="00837255" w:rsidRPr="00837255" w:rsidRDefault="00837255" w:rsidP="00837255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837255">
        <w:rPr>
          <w:rFonts w:ascii="宋体" w:eastAsia="宋体" w:hAnsi="宋体" w:hint="eastAsia"/>
          <w:color w:val="000000" w:themeColor="text1"/>
          <w:sz w:val="24"/>
          <w:szCs w:val="24"/>
        </w:rPr>
        <w:t>新产业以前沿技术为根基，往往具有技术密集、人才密集、资本密集的特征。江浩然认为，助力民营企业提升科技创新能力、攻关前沿技术，可以从四个方面着手。</w:t>
      </w:r>
    </w:p>
    <w:p w:rsidR="00837255" w:rsidRPr="00837255" w:rsidRDefault="00837255" w:rsidP="00837255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837255">
        <w:rPr>
          <w:rFonts w:ascii="宋体" w:eastAsia="宋体" w:hAnsi="宋体" w:hint="eastAsia"/>
          <w:color w:val="000000" w:themeColor="text1"/>
          <w:sz w:val="24"/>
          <w:szCs w:val="24"/>
        </w:rPr>
        <w:t>首先，是政策的大力支持。要制定和落实一些针对科技民营企业的专项扶持政策，如税收减免、研发补贴等，降低企业创新成本；简化一些项目的审批流程，提高政府的服务效率；支持民企参与国家重点战略工程项目。</w:t>
      </w:r>
    </w:p>
    <w:p w:rsidR="00837255" w:rsidRPr="00837255" w:rsidRDefault="00837255" w:rsidP="00837255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837255">
        <w:rPr>
          <w:rFonts w:ascii="宋体" w:eastAsia="宋体" w:hAnsi="宋体" w:hint="eastAsia"/>
          <w:color w:val="000000" w:themeColor="text1"/>
          <w:sz w:val="24"/>
          <w:szCs w:val="24"/>
        </w:rPr>
        <w:t>其次，是资金的专项倾斜。国家可以加大财政的投入，设立科技创新专项资金，用于支持民营企业的关键技术研发、创新平台建设等项目；也要帮助民营企业拓宽融资渠道，鼓励金融机构开发适合科技民营企业的金融产品和服务，如知识产权质押融资、科技保险等。</w:t>
      </w:r>
    </w:p>
    <w:p w:rsidR="00837255" w:rsidRPr="00837255" w:rsidRDefault="00837255" w:rsidP="00837255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837255">
        <w:rPr>
          <w:rFonts w:ascii="宋体" w:eastAsia="宋体" w:hAnsi="宋体" w:hint="eastAsia"/>
          <w:color w:val="000000" w:themeColor="text1"/>
          <w:sz w:val="24"/>
          <w:szCs w:val="24"/>
        </w:rPr>
        <w:lastRenderedPageBreak/>
        <w:t>第三，是人才培养的保障。推动高校和职业院校与科技企业合作，共同建立人才培养基地，培养适应产业需求的专业人才。</w:t>
      </w:r>
    </w:p>
    <w:p w:rsidR="00837255" w:rsidRPr="00837255" w:rsidRDefault="00837255" w:rsidP="00837255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837255">
        <w:rPr>
          <w:rFonts w:ascii="宋体" w:eastAsia="宋体" w:hAnsi="宋体" w:hint="eastAsia"/>
          <w:color w:val="000000" w:themeColor="text1"/>
          <w:sz w:val="24"/>
          <w:szCs w:val="24"/>
        </w:rPr>
        <w:t>最后，要注重创新生态建设。推动产学研合作，搭建产学研合作平台，促进民营企业与高校、科研机构开展合作，加速科技成果转化。</w:t>
      </w:r>
    </w:p>
    <w:p w:rsidR="00837255" w:rsidRPr="00837255" w:rsidRDefault="00837255" w:rsidP="00837255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837255">
        <w:rPr>
          <w:rFonts w:ascii="宋体" w:eastAsia="宋体" w:hAnsi="宋体" w:hint="eastAsia"/>
          <w:color w:val="000000" w:themeColor="text1"/>
          <w:sz w:val="24"/>
          <w:szCs w:val="24"/>
        </w:rPr>
        <w:t>“两重”“两新”不仅是扩大内需的发力点，也成为支持民营企业发展的重要抓手。2024年，“两重”建设和“两新”工作成效显著，设备购置投资增长15.7%，家电类商品零售额增长12.3%。针对民营企业如何参与“两重”和“两新”，国家将通过鼓励民营企业参与国家重大战略、加力实施设备更新贷款贴息等政策进一步给予支持。</w:t>
      </w:r>
    </w:p>
    <w:p w:rsidR="00837255" w:rsidRPr="00837255" w:rsidRDefault="00837255" w:rsidP="00837255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837255">
        <w:rPr>
          <w:rFonts w:ascii="宋体" w:eastAsia="宋体" w:hAnsi="宋体" w:hint="eastAsia"/>
          <w:color w:val="000000" w:themeColor="text1"/>
          <w:sz w:val="24"/>
          <w:szCs w:val="24"/>
        </w:rPr>
        <w:t>江浩然表示，国家支持民营企业参与“两重”建设和“两新”工作，让他备受鼓舞，也对未来的发展更加有信心。对于如何更好地支持民营企业参与“两重两新”，他有三点建议。</w:t>
      </w:r>
    </w:p>
    <w:p w:rsidR="00837255" w:rsidRPr="00837255" w:rsidRDefault="00837255" w:rsidP="00837255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837255">
        <w:rPr>
          <w:rFonts w:ascii="宋体" w:eastAsia="宋体" w:hAnsi="宋体" w:hint="eastAsia"/>
          <w:color w:val="000000" w:themeColor="text1"/>
          <w:sz w:val="24"/>
          <w:szCs w:val="24"/>
        </w:rPr>
        <w:t>一是政策制度方面的支持。要适当降低准入门槛，推进基础设施竞争性领域、国家重大科研基础设施等向民营企业公平开放。</w:t>
      </w:r>
    </w:p>
    <w:p w:rsidR="00837255" w:rsidRPr="00837255" w:rsidRDefault="00837255" w:rsidP="00837255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837255">
        <w:rPr>
          <w:rFonts w:ascii="宋体" w:eastAsia="宋体" w:hAnsi="宋体" w:hint="eastAsia"/>
          <w:color w:val="000000" w:themeColor="text1"/>
          <w:sz w:val="24"/>
          <w:szCs w:val="24"/>
        </w:rPr>
        <w:t>二是融资方面的支持。应该引导金融机构加大对民营企业参与“两重两新”的信贷投放，提高民营企业的融资可得性。</w:t>
      </w:r>
    </w:p>
    <w:p w:rsidR="00837255" w:rsidRDefault="00837255" w:rsidP="00837255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837255">
        <w:rPr>
          <w:rFonts w:ascii="宋体" w:eastAsia="宋体" w:hAnsi="宋体" w:hint="eastAsia"/>
          <w:color w:val="000000" w:themeColor="text1"/>
          <w:sz w:val="24"/>
          <w:szCs w:val="24"/>
        </w:rPr>
        <w:t>三是服务与监管方面。在政务服务、行政审批等方面进行优化，建立专门的服务窗口或绿色通道，为民营企业参与“两重两新”提供一站式服务。同时，也应该建立健全监督评估机制，加强对民营企业参与“两重两新”的跟踪和评估，及时发现和解决问题。加强对政策落实情况的监督检查，确保各项支持政策落到实处。</w:t>
      </w:r>
    </w:p>
    <w:p w:rsidR="00837255" w:rsidRPr="00837255" w:rsidRDefault="00837255" w:rsidP="00837255">
      <w:pPr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</w:p>
    <w:sectPr w:rsidR="00837255" w:rsidRPr="008372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C25"/>
    <w:rsid w:val="000763EE"/>
    <w:rsid w:val="000F3C25"/>
    <w:rsid w:val="001E2470"/>
    <w:rsid w:val="00255EF1"/>
    <w:rsid w:val="0031467B"/>
    <w:rsid w:val="00484D36"/>
    <w:rsid w:val="00692EAA"/>
    <w:rsid w:val="00703FE1"/>
    <w:rsid w:val="00804B5B"/>
    <w:rsid w:val="00837255"/>
    <w:rsid w:val="008E5C5E"/>
    <w:rsid w:val="009066AF"/>
    <w:rsid w:val="00AD21A1"/>
    <w:rsid w:val="00D02623"/>
    <w:rsid w:val="00E02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214</Words>
  <Characters>1226</Characters>
  <Application>Microsoft Office Word</Application>
  <DocSecurity>0</DocSecurity>
  <Lines>10</Lines>
  <Paragraphs>2</Paragraphs>
  <ScaleCrop>false</ScaleCrop>
  <Company>Organization</Company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2025-03-10T02:53:00Z</dcterms:created>
  <dcterms:modified xsi:type="dcterms:W3CDTF">2025-03-10T02:59:00Z</dcterms:modified>
</cp:coreProperties>
</file>