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AE" w:rsidRPr="002632AE" w:rsidRDefault="002632AE" w:rsidP="002632AE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2632AE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2025下半场，中国半导体行业走向何方？</w:t>
      </w:r>
    </w:p>
    <w:bookmarkEnd w:id="0"/>
    <w:p w:rsidR="002632AE" w:rsidRPr="002632AE" w:rsidRDefault="002632AE" w:rsidP="002632AE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来源：中国电子报、电子信息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产业网</w:t>
      </w:r>
      <w:proofErr w:type="gramEnd"/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作者：杨鹏岳</w:t>
      </w:r>
    </w:p>
    <w:p w:rsidR="002632AE" w:rsidRPr="002632AE" w:rsidRDefault="002632AE" w:rsidP="002632A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近期，我国半导体上市公司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一季度财报纷纷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出炉，来自产业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链不同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环节的相关企业表现各异，喜忧并存。总体而言，步入2025年下半场，中国半导体行业将延续“技术突破+政策驱动+需求分化”的发展主线。</w:t>
      </w:r>
    </w:p>
    <w:p w:rsidR="002632AE" w:rsidRPr="002632AE" w:rsidRDefault="002632AE" w:rsidP="002632A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记者聚焦半导体设备、晶圆代工、封装测试、存储芯片等半导体行业重点领域，透过众多相关企业一季度业绩表现、下一步动作和未来展望，对中国半导体行业今年下半场的走势略窥一二。</w:t>
      </w:r>
    </w:p>
    <w:p w:rsidR="002632AE" w:rsidRPr="002632AE" w:rsidRDefault="002632AE" w:rsidP="002632AE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半导体设备：未来几年都将处于上升通道</w:t>
      </w:r>
    </w:p>
    <w:p w:rsidR="002632AE" w:rsidRPr="002632AE" w:rsidRDefault="002632AE" w:rsidP="002632A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2025年，我国半导体设备行业在政策支持、技术创新与市场需求的多重因素驱动下，呈现显著的结构性增长与分化态势。今年第一季度，中国半导体设备企业在营收规模、利润增长、研发投入、产品布局等方面各有看点。</w:t>
      </w:r>
      <w:r w:rsidRPr="002632AE"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3D4FB641" wp14:editId="360FC065">
            <wp:extent cx="5715" cy="5715"/>
            <wp:effectExtent l="0" t="0" r="0" b="0"/>
            <wp:docPr id="8" name="图片 8" descr="https://admin.cena.com.cn/assets/ueditor/themes/default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ena.com.cn/assets/ueditor/themes/default/images/spac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2AE" w:rsidRPr="002632AE" w:rsidRDefault="002632AE" w:rsidP="002632AE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390BE892" wp14:editId="18E60C3F">
            <wp:extent cx="4398096" cy="3232500"/>
            <wp:effectExtent l="0" t="0" r="2540" b="6350"/>
            <wp:docPr id="7" name="图片 7" descr="https://static.cena.com.cn/attach/image/20250516/1747375289762028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cena.com.cn/attach/image/20250516/1747375289762028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157" cy="323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2AE" w:rsidRPr="002632AE" w:rsidRDefault="002632AE" w:rsidP="002632AE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来源：《中国电子报》根据公开数据整理</w:t>
      </w:r>
    </w:p>
    <w:p w:rsidR="002632AE" w:rsidRPr="002632AE" w:rsidRDefault="002632AE" w:rsidP="002632A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头部企业中，北方华创、中微公司、盛美上海的营收和净利润均实现双位数增长。其中，北方华创得益于刻蚀设备、薄膜沉积设备等新产品技术突破及成熟产品市场份额提升，一季度营收达到82.06亿元；中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微公司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得益于产品竞争力提升、市场需求增加以及销售收入增长，一季度营收21.73亿元，此外其研发速度</w:t>
      </w:r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lastRenderedPageBreak/>
        <w:t>显著加快，一季度研发投入6.87亿元，同比增长90.53%；盛美上海由于主营业务收入和毛利增长，实现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归母净利润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2.46亿元，同比大幅增长207.21%。</w:t>
      </w:r>
    </w:p>
    <w:p w:rsidR="002632AE" w:rsidRPr="002632AE" w:rsidRDefault="002632AE" w:rsidP="002632A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除了头部企业，多家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科创板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上市企业的表现也印证了半导体设备行业高景气度的态势延续，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其中京仪装备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一季度营收同比增幅达54.23%，实现了连续3年营收上涨。</w:t>
      </w:r>
    </w:p>
    <w:p w:rsidR="002632AE" w:rsidRPr="002632AE" w:rsidRDefault="002632AE" w:rsidP="002632A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不过，在净利润方面，12家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科创板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半导体设备企业，仅有6家实现同比增长，有4家的净利润同比下降了100%以上，两极分化现象较为严重。而造成“增收不增利”的主要原因在于研发投入增加和产品验证过程成本较高。</w:t>
      </w:r>
    </w:p>
    <w:p w:rsidR="002632AE" w:rsidRPr="002632AE" w:rsidRDefault="002632AE" w:rsidP="002632A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2025年下半年，半导体设备尽管面临产业链波动的影响，但本土企业在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成熟制程发展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、新兴技术领域突破以及产业链协同等方面取得重要进展，市场整体正处于上升通道，企业有望通过扩大市场份额实现进一步发展。</w:t>
      </w:r>
    </w:p>
    <w:p w:rsidR="002632AE" w:rsidRPr="002632AE" w:rsidRDefault="002632AE" w:rsidP="002632A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中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微公司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董事长尹志尧表示，公司研发新产品的速度显著加快，过去通常需要三到五年开发一款新设备，现在只需两年或更短时间就能开发出有竞争力的新设备，并顺利进入市场，公司有望在未来几年更大规模地推出新产品。北方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华创则在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一季度业绩说明中指出，未来几年国内半导体设备行业预计将继续保持增长趋势。公司2025年一季度新增订单保持良好趋势，半导体设备业务未来的毛利率和净利率将保持稳定。此外，盛美上海对全年营收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作出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了良好的预期，预计2025年全年的营收将在65亿元至71亿元之间。</w:t>
      </w:r>
    </w:p>
    <w:p w:rsidR="002632AE" w:rsidRPr="002632AE" w:rsidRDefault="002632AE" w:rsidP="002632AE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晶圆代工：在挑战中探寻发展新机</w:t>
      </w:r>
    </w:p>
    <w:p w:rsidR="002632AE" w:rsidRPr="002632AE" w:rsidRDefault="002632AE" w:rsidP="002632A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2025年一季度国内主要晶圆代工厂商整体业绩表现良好。目前，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国内晶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圆代工行业呈现结构性复苏态势，头部企业持续推动产业链本土化配套，但在全球市场竞争力、盈利质量等方面仍需不断突破。</w:t>
      </w:r>
      <w:r w:rsidRPr="002632AE"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0A602479" wp14:editId="2563F247">
            <wp:extent cx="5715" cy="5715"/>
            <wp:effectExtent l="0" t="0" r="0" b="0"/>
            <wp:docPr id="6" name="图片 6" descr="https://admin.cena.com.cn/assets/ueditor/themes/default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min.cena.com.cn/assets/ueditor/themes/default/images/spac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2AE" w:rsidRPr="002632AE" w:rsidRDefault="002632AE" w:rsidP="002632AE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7FD9483F" wp14:editId="4DB5A0A8">
            <wp:extent cx="4487853" cy="1382617"/>
            <wp:effectExtent l="0" t="0" r="8255" b="8255"/>
            <wp:docPr id="5" name="图片 5" descr="https://static.cena.com.cn/attach/image/20250516/1747375322626567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cena.com.cn/attach/image/20250516/17473753226265679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485" cy="138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2AE" w:rsidRPr="002632AE" w:rsidRDefault="002632AE" w:rsidP="002632AE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来源：《中国电子报》根据公开数据整理</w:t>
      </w:r>
    </w:p>
    <w:p w:rsidR="002632AE" w:rsidRPr="002632AE" w:rsidRDefault="002632AE" w:rsidP="002632A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今年一季度，头部晶圆代工企业表现有所分化。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中芯国际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迎来了一季度历史同期最佳业绩，营收163.01亿元，同比增长29.4%；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归母净利润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13.56亿元，同比大幅增长166.5%，不过其收入增长不及此前发布的业绩指引。晶合集成实现营收、利润双丰收，一季度营收25.68亿元，同比增长15.25%；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归母净利润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为1.35亿元，同比增长70.92%。与此同时，华虹半导体收入增长，但盈利压力凸显：一季度营收39.13亿元，同比增长18.66%；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归母净利润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为2276.33万元，同比下降89.73%；总体产能利用率为102.7%，同比增长11个百分点。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芯联集成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一季度营收17.34亿元，同比增长28.14%；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归母净利润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为-1.82亿元，虽然同比减亏24.71%但尚未扭亏。</w:t>
      </w:r>
    </w:p>
    <w:p w:rsidR="002632AE" w:rsidRPr="002632AE" w:rsidRDefault="002632AE" w:rsidP="002632A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中芯国际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联合CEO赵海军在业绩说明会上表示，业绩增长主要受益于国际形势变化引起的客户提拉出货、国内以旧换新消费补贴等政策推动的大宗类产品需求上升，以及工业与汽车产业触底补货。不过，由于工厂生产性波动，一季度后半部平均销售单价下降，导致收入未能达到指引预期，这个影响会延续到二季度。</w:t>
      </w:r>
    </w:p>
    <w:p w:rsidR="002632AE" w:rsidRPr="002632AE" w:rsidRDefault="002632AE" w:rsidP="002632A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华虹总裁兼执行董事白鹏表示，华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虹制造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项目的产能爬坡进度符合预期，对公司接下来的收入增长、产品组合优化及核心竞争力的提升都具有积极意义。市场方面，下游需求与竞争格局亦基本延续2024年下半年以来的走势。但随着近期国际环境和相关政策的变化，整个半导体行业在客户需求、采购成本、产业链格局等方面都会面临较大的不确定性。</w:t>
      </w:r>
    </w:p>
    <w:p w:rsidR="002632AE" w:rsidRPr="002632AE" w:rsidRDefault="002632AE" w:rsidP="002632A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接下来，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国内晶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圆代工市场发展机遇与挑战并存，企业围绕技术路径、细分市场拓展、产业链协同进行积极探索。</w:t>
      </w:r>
    </w:p>
    <w:p w:rsidR="002632AE" w:rsidRPr="002632AE" w:rsidRDefault="002632AE" w:rsidP="002632A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“我们要提升应变和抵抗风险的能力，最主要还是保持定力，做好本业，做好当下。”赵海军表示，在今年新的市场因素出现后，二季度基本面相比一季度没有太大变化，客户都在沉着应对，公司产能利用率继续保持饱满状态。公司已经看到各行业，包括工业与汽车领域触底反弹的积极信号，产业链在地化转换也继续走强，更多晶圆代工需求回流本土。白鹏表示，华虹半导体将坚守自身定力，持续加快有效产能扩张，增强研发能力，积极开拓市场机遇，深化降本增效，精益管理可能出现的供应链扰动，在降低风险的同时提升业绩。</w:t>
      </w:r>
    </w:p>
    <w:p w:rsidR="002632AE" w:rsidRPr="002632AE" w:rsidRDefault="002632AE" w:rsidP="002632A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“把握不确定性中的确定性”。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芯联集成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表示，公司通过深化新能源、智能化技术布局，紧抓内需扩张和全球合作新机遇，实现营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收规模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与盈利质量的同步提升。晶合集成表示，2025年公司将整合资源，积极开拓境外市场，实现市场多元化，争取获取更多国际新客户，提升公司在晶圆代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工领域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的市场份额，为公司持续发展提供新的增长点。</w:t>
      </w:r>
    </w:p>
    <w:p w:rsidR="002632AE" w:rsidRPr="002632AE" w:rsidRDefault="002632AE" w:rsidP="002632AE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半导体封测：多重叠加因素驱动市场持续向好</w:t>
      </w:r>
    </w:p>
    <w:p w:rsidR="002632AE" w:rsidRPr="002632AE" w:rsidRDefault="002632AE" w:rsidP="002632A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2025年，半导体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封测行业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在技术升级、市场需求增长和地缘政治等多重因素的影响下，发展势头更为迅猛。一季度，无论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是封测大厂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还是细分领域厂商均在营收或利润上实现增长，而人工智能、汽车电子等成为驱动行业发展的关键因素。</w:t>
      </w:r>
      <w:r w:rsidRPr="002632AE"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3F297AB2" wp14:editId="3554D0DD">
            <wp:extent cx="5715" cy="5715"/>
            <wp:effectExtent l="0" t="0" r="0" b="0"/>
            <wp:docPr id="4" name="图片 4" descr="https://admin.cena.com.cn/assets/ueditor/themes/default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dmin.cena.com.cn/assets/ueditor/themes/default/images/spac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2AE" w:rsidRPr="002632AE" w:rsidRDefault="002632AE" w:rsidP="002632AE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1BC30E87" wp14:editId="25111D79">
            <wp:extent cx="4561912" cy="2757839"/>
            <wp:effectExtent l="0" t="0" r="0" b="4445"/>
            <wp:docPr id="3" name="图片 3" descr="https://static.cena.com.cn/attach/image/20250516/1747375360806290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atic.cena.com.cn/attach/image/20250516/17473753608062908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838" cy="276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2AE" w:rsidRPr="002632AE" w:rsidRDefault="002632AE" w:rsidP="002632AE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来源：《中国电子报》根据公开数据整理</w:t>
      </w:r>
    </w:p>
    <w:p w:rsidR="002632AE" w:rsidRPr="002632AE" w:rsidRDefault="002632AE" w:rsidP="002632A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一季度，长电科技、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通富微电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、华天科技这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三家封测大厂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延续了良好的增长势头，营收同比增速均为双位数。不过，从盈利情况来看，三家企业表现出现分化，长电科技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和通富微电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归母净利润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分别为2.03亿元、1.17亿元，同比增速分别为50.39%、2.94%；华天科技由于证券投资亏损和金融资产公允价值减少导致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归母净利润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由盈转亏，为-1852.86万元。此外，多家细分领域的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封测企业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表现突出：CIS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晶圆级封装企业晶方科技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、先进封装领域的甬矽电子、存储半导体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封测企业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深科技、显示驱动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封测企业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汇成股份等多家企业均给出了营收、利润双增长的成绩单；同时，也有部分封测厂商出现了增收不增利的情况。</w:t>
      </w:r>
    </w:p>
    <w:p w:rsidR="002632AE" w:rsidRPr="002632AE" w:rsidRDefault="002632AE" w:rsidP="002632A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展望2025年下半场，业界分析认为，需求持续增长的AI和新能源汽车等新兴领域依旧是关键驱动力。长电科技在业绩说明会上指出，2025年人工智能继续引领半导体市场的增长。存储、通信、汽车工业等主要领域的需求逐步复苏。在技术驱动的新一轮上行周期与应用市场逐步复苏的叠加影响下，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整体封测市场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向好发展。短期来看，国内不断出台促进消费的政策，终端需求在快速释放，客户的订单明显增长。</w:t>
      </w:r>
    </w:p>
    <w:p w:rsidR="002632AE" w:rsidRPr="002632AE" w:rsidRDefault="002632AE" w:rsidP="002632A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另一方面，目前，半导体市场对高性能的先进封装有巨大的需求，而这也是大部分封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测企业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都在积极布局的重要方向，相关企业有望从中持续受益。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通富微电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表示，公司面向未来高附加值产品以及市场热点方向，大力开发扇出型、圆片级、倒装焊等封装技术并扩充其产能；还通过布局</w:t>
      </w:r>
      <w:proofErr w:type="spell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Chiplet</w:t>
      </w:r>
      <w:proofErr w:type="spell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、2D+等顶尖封装技术去形成差异化竞争优势。甬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矽电子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表示将在保证封装和测试服务质量的前提下，进一步扩大先进封装产能，提高公司服务客户的能力。长电科技表示，随着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前期正在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布局的先进封装的技术和产能逐渐释放，未来几年公司在先进封装领域表现有望优于整个市场平均水平。</w:t>
      </w:r>
    </w:p>
    <w:p w:rsidR="002632AE" w:rsidRPr="002632AE" w:rsidRDefault="002632AE" w:rsidP="002632AE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存储芯片：市场逐步回暖，望向高附加值领域</w:t>
      </w:r>
    </w:p>
    <w:p w:rsidR="002632AE" w:rsidRPr="002632AE" w:rsidRDefault="002632AE" w:rsidP="002632A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2025年，存储芯片行业景气逐步复苏，但相关企业业绩表现分化显著。从一季度整体数据来看，多数国内存储芯片上市公司面临盈利增长压力，但在国际三大原厂产能向更高性能存储芯片倾斜的趋势下，利基型存储产品率先出现回暖迹象。</w:t>
      </w:r>
      <w:r w:rsidRPr="002632AE"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57E54970" wp14:editId="123F2761">
            <wp:extent cx="5715" cy="5715"/>
            <wp:effectExtent l="0" t="0" r="0" b="0"/>
            <wp:docPr id="2" name="图片 2" descr="https://admin.cena.com.cn/assets/ueditor/themes/default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dmin.cena.com.cn/assets/ueditor/themes/default/images/spac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2AE" w:rsidRPr="002632AE" w:rsidRDefault="002632AE" w:rsidP="002632AE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579E86B5" wp14:editId="77A2BEBE">
            <wp:extent cx="4705870" cy="2931822"/>
            <wp:effectExtent l="0" t="0" r="0" b="1905"/>
            <wp:docPr id="1" name="图片 1" descr="https://static.cena.com.cn/attach/image/20250516/174737537592650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atic.cena.com.cn/attach/image/20250516/17473753759265020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241" cy="2932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2AE" w:rsidRPr="002632AE" w:rsidRDefault="002632AE" w:rsidP="002632AE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来源：《中国电子报》根据公开数据整理</w:t>
      </w:r>
    </w:p>
    <w:p w:rsidR="002632AE" w:rsidRPr="002632AE" w:rsidRDefault="002632AE" w:rsidP="002632A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一季度，存储价格仍未反弹，企业盈利整体承压。受全球宏观经济环境影响，存储价格从2024年第三季度开始逐季下滑，2025年第一季度达到阶段性低点。受此影响，多数企业的盈利增长面临压力。在记者统计的十家存储芯片相关上市公司（包含存储芯片、存储控制芯片、存储模组）中，营收、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归母净利润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皆为正且均实现同比增长的企业仅有兆易创新、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澜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起科技、聚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辰股份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这三家，而营收同比下滑的企业有4家，净利润亏损企业有3家，净利润同比下降企业有5家。</w:t>
      </w:r>
    </w:p>
    <w:p w:rsidR="002632AE" w:rsidRPr="002632AE" w:rsidRDefault="002632AE" w:rsidP="002632A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不过，存储行业虽然一季度景气不振，但从3月底开始，利基型产品随着库存水位的降低，价格已出现改善迹象。</w:t>
      </w:r>
    </w:p>
    <w:p w:rsidR="002632AE" w:rsidRPr="002632AE" w:rsidRDefault="002632AE" w:rsidP="002632A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兆易创新董事、副总经理胡洪也业绩会上指出，受到大厂抛售生命周期尾部利基型产品的影响，一季度利基型DRAM总体上处于竞争相对激烈的局面，收入同比出现小幅下降。但3月以来，行业涌现出一些边际改善的迹象，特别是以D48Gb、LPD4等产品为代表的一些利基型产品，价格已经有所回升。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东芯股份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则指出，目前来看上半年利基存储产品的价格预计会较为稳定，下半年随着各个终端需求的逐步修复，有望看到价格端的逐步好转。</w:t>
      </w:r>
    </w:p>
    <w:p w:rsidR="002632AE" w:rsidRPr="002632AE" w:rsidRDefault="002632AE" w:rsidP="002632A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结合库存消化进程和下游需求，预计存储行业将逐步回暖。北京君正表示，从全球市场角度来看，存储芯片的收入更能反映全球市场的情况，预计2025年全球市场将从2024年的压力中逐渐恢复，特别是汽车行业有望呈现上升趋势。预计行业市场不会出现爆发性增长，而是逐渐恢复。</w:t>
      </w:r>
    </w:p>
    <w:p w:rsidR="002632AE" w:rsidRPr="002632AE" w:rsidRDefault="002632AE" w:rsidP="002632A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对于存储企业来说，接下来AI仍是拉动下游需求的主力动能。江波龙表示，展望2025年，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云服务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提供商对AI硬件的持续投资，将推动对高性能计算和存储硬件的需求，服务器领域的高速、大容量存储产品需求仍有望保持增长。此外，在终端领域，除了继续被存储芯片企业视为高附加值市场的AI手机、AI PC，AI眼镜等可穿戴设备也受到多家存储企业关注。聚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辰股份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表示，来自AI眼镜等可穿戴智能设备的需求量持续增加，有望为公司工业级EEPROM业务打开新的市场空间。</w:t>
      </w:r>
      <w:proofErr w:type="gramStart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佰维存储</w:t>
      </w:r>
      <w:proofErr w:type="gramEnd"/>
      <w:r w:rsidRPr="002632A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给出预测，2025年公司面向AI眼镜产品收入有望同比增长超过500%。</w:t>
      </w:r>
    </w:p>
    <w:p w:rsidR="00D02623" w:rsidRPr="002632AE" w:rsidRDefault="00D02623" w:rsidP="002632A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263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5CC"/>
    <w:rsid w:val="000763EE"/>
    <w:rsid w:val="001E2470"/>
    <w:rsid w:val="00255EF1"/>
    <w:rsid w:val="002632AE"/>
    <w:rsid w:val="0031467B"/>
    <w:rsid w:val="003C2455"/>
    <w:rsid w:val="00484D36"/>
    <w:rsid w:val="005675CC"/>
    <w:rsid w:val="00692EAA"/>
    <w:rsid w:val="00703FE1"/>
    <w:rsid w:val="00804B5B"/>
    <w:rsid w:val="008E5C5E"/>
    <w:rsid w:val="009066AF"/>
    <w:rsid w:val="00AD21A1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632A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632AE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632A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32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632AE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2632A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632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632A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632AE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632A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32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632AE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2632A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632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623</Words>
  <Characters>3555</Characters>
  <Application>Microsoft Office Word</Application>
  <DocSecurity>0</DocSecurity>
  <Lines>29</Lines>
  <Paragraphs>8</Paragraphs>
  <ScaleCrop>false</ScaleCrop>
  <Company>Organization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2025-05-19T02:58:00Z</dcterms:created>
  <dcterms:modified xsi:type="dcterms:W3CDTF">2025-05-19T03:02:00Z</dcterms:modified>
</cp:coreProperties>
</file>