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FB8" w:rsidRPr="00D60FB8" w:rsidRDefault="00D60FB8" w:rsidP="00D60FB8">
      <w:pPr>
        <w:widowControl/>
        <w:shd w:val="clear" w:color="auto" w:fill="FFFFFF"/>
        <w:spacing w:line="360" w:lineRule="auto"/>
        <w:jc w:val="center"/>
        <w:outlineLvl w:val="0"/>
        <w:rPr>
          <w:rFonts w:ascii="黑体" w:eastAsia="黑体" w:hAnsi="黑体" w:cs="宋体"/>
          <w:b/>
          <w:bCs/>
          <w:color w:val="000000" w:themeColor="text1"/>
          <w:kern w:val="36"/>
          <w:sz w:val="28"/>
          <w:szCs w:val="28"/>
        </w:rPr>
      </w:pPr>
      <w:bookmarkStart w:id="0" w:name="_GoBack"/>
      <w:r w:rsidRPr="00D60FB8">
        <w:rPr>
          <w:rFonts w:ascii="黑体" w:eastAsia="黑体" w:hAnsi="黑体" w:cs="宋体" w:hint="eastAsia"/>
          <w:b/>
          <w:bCs/>
          <w:color w:val="000000" w:themeColor="text1"/>
          <w:kern w:val="36"/>
          <w:sz w:val="28"/>
          <w:szCs w:val="28"/>
        </w:rPr>
        <w:t>功率分析</w:t>
      </w:r>
      <w:proofErr w:type="gramStart"/>
      <w:r w:rsidRPr="00D60FB8">
        <w:rPr>
          <w:rFonts w:ascii="黑体" w:eastAsia="黑体" w:hAnsi="黑体" w:cs="宋体" w:hint="eastAsia"/>
          <w:b/>
          <w:bCs/>
          <w:color w:val="000000" w:themeColor="text1"/>
          <w:kern w:val="36"/>
          <w:sz w:val="28"/>
          <w:szCs w:val="28"/>
        </w:rPr>
        <w:t>仪相关</w:t>
      </w:r>
      <w:proofErr w:type="gramEnd"/>
      <w:r w:rsidRPr="00D60FB8">
        <w:rPr>
          <w:rFonts w:ascii="黑体" w:eastAsia="黑体" w:hAnsi="黑体" w:cs="宋体" w:hint="eastAsia"/>
          <w:b/>
          <w:bCs/>
          <w:color w:val="000000" w:themeColor="text1"/>
          <w:kern w:val="36"/>
          <w:sz w:val="28"/>
          <w:szCs w:val="28"/>
        </w:rPr>
        <w:t>政策解读：驱动行业前行的引擎</w:t>
      </w:r>
    </w:p>
    <w:bookmarkEnd w:id="0"/>
    <w:p w:rsidR="00D60FB8" w:rsidRPr="00D60FB8" w:rsidRDefault="00D60FB8" w:rsidP="00D60FB8">
      <w:pPr>
        <w:widowControl/>
        <w:shd w:val="clear" w:color="auto" w:fill="FFFFFF"/>
        <w:spacing w:line="360" w:lineRule="auto"/>
        <w:jc w:val="center"/>
        <w:rPr>
          <w:rFonts w:ascii="宋体" w:eastAsia="宋体" w:hAnsi="宋体" w:cs="宋体"/>
          <w:color w:val="000000" w:themeColor="text1"/>
          <w:kern w:val="0"/>
          <w:sz w:val="24"/>
          <w:szCs w:val="24"/>
        </w:rPr>
      </w:pPr>
      <w:r w:rsidRPr="00D60FB8">
        <w:rPr>
          <w:rFonts w:ascii="宋体" w:eastAsia="宋体" w:hAnsi="宋体" w:cs="宋体"/>
          <w:color w:val="000000" w:themeColor="text1"/>
          <w:kern w:val="0"/>
          <w:sz w:val="24"/>
          <w:szCs w:val="24"/>
        </w:rPr>
        <w:t>来源：</w:t>
      </w:r>
      <w:proofErr w:type="gramStart"/>
      <w:r w:rsidRPr="00D60FB8">
        <w:rPr>
          <w:rFonts w:ascii="宋体" w:eastAsia="宋体" w:hAnsi="宋体" w:cs="宋体"/>
          <w:color w:val="000000" w:themeColor="text1"/>
          <w:kern w:val="0"/>
          <w:sz w:val="24"/>
          <w:szCs w:val="24"/>
        </w:rPr>
        <w:t>仪商网</w:t>
      </w:r>
      <w:proofErr w:type="gramEnd"/>
    </w:p>
    <w:p w:rsidR="00D60FB8" w:rsidRPr="00D60FB8" w:rsidRDefault="00D60FB8" w:rsidP="00D60FB8">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D60FB8">
        <w:rPr>
          <w:rFonts w:ascii="宋体" w:eastAsia="宋体" w:hAnsi="宋体" w:cs="宋体"/>
          <w:color w:val="000000" w:themeColor="text1"/>
          <w:kern w:val="0"/>
          <w:sz w:val="24"/>
          <w:szCs w:val="24"/>
        </w:rPr>
        <w:t>在仪器仪表领域，功率分析仪作为精准测量与分析电力参数的关键设备，广泛应用于电力电子、新能源、工业自动化等众多核心行业。从电动汽车充电桩的性能检测，到风力发电站的功率优化，功率分析仪的准确性与可靠性至关重要。政策作为行业发展的风向标，从技术规范、产业扶持到市场监管，全方位为功率分析</w:t>
      </w:r>
      <w:proofErr w:type="gramStart"/>
      <w:r w:rsidRPr="00D60FB8">
        <w:rPr>
          <w:rFonts w:ascii="宋体" w:eastAsia="宋体" w:hAnsi="宋体" w:cs="宋体"/>
          <w:color w:val="000000" w:themeColor="text1"/>
          <w:kern w:val="0"/>
          <w:sz w:val="24"/>
          <w:szCs w:val="24"/>
        </w:rPr>
        <w:t>仪行业</w:t>
      </w:r>
      <w:proofErr w:type="gramEnd"/>
      <w:r w:rsidRPr="00D60FB8">
        <w:rPr>
          <w:rFonts w:ascii="宋体" w:eastAsia="宋体" w:hAnsi="宋体" w:cs="宋体"/>
          <w:color w:val="000000" w:themeColor="text1"/>
          <w:kern w:val="0"/>
          <w:sz w:val="24"/>
          <w:szCs w:val="24"/>
        </w:rPr>
        <w:t>的发展保驾护航。</w:t>
      </w:r>
      <w:proofErr w:type="gramStart"/>
      <w:r w:rsidRPr="00D60FB8">
        <w:rPr>
          <w:rFonts w:ascii="宋体" w:eastAsia="宋体" w:hAnsi="宋体" w:cs="宋体"/>
          <w:color w:val="000000" w:themeColor="text1"/>
          <w:kern w:val="0"/>
          <w:sz w:val="24"/>
          <w:szCs w:val="24"/>
        </w:rPr>
        <w:t>仪商网</w:t>
      </w:r>
      <w:proofErr w:type="gramEnd"/>
      <w:r w:rsidRPr="00D60FB8">
        <w:rPr>
          <w:rFonts w:ascii="宋体" w:eastAsia="宋体" w:hAnsi="宋体" w:cs="宋体"/>
          <w:color w:val="000000" w:themeColor="text1"/>
          <w:kern w:val="0"/>
          <w:sz w:val="24"/>
          <w:szCs w:val="24"/>
        </w:rPr>
        <w:t>为您深入解读相关政策要点，助力行业从业者把握发展机遇。</w:t>
      </w:r>
    </w:p>
    <w:p w:rsidR="00D60FB8" w:rsidRPr="00D60FB8" w:rsidRDefault="00D60FB8" w:rsidP="00D60FB8">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D60FB8">
        <w:rPr>
          <w:rFonts w:ascii="宋体" w:eastAsia="宋体" w:hAnsi="宋体" w:cs="宋体"/>
          <w:b/>
          <w:bCs/>
          <w:color w:val="000000" w:themeColor="text1"/>
          <w:kern w:val="0"/>
          <w:sz w:val="24"/>
          <w:szCs w:val="24"/>
        </w:rPr>
        <w:t>一、计量标准政策：夯实测量精度基石</w:t>
      </w:r>
    </w:p>
    <w:p w:rsidR="00D60FB8" w:rsidRPr="00D60FB8" w:rsidRDefault="00D60FB8" w:rsidP="00D60FB8">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D60FB8">
        <w:rPr>
          <w:rFonts w:ascii="宋体" w:eastAsia="宋体" w:hAnsi="宋体" w:cs="宋体"/>
          <w:b/>
          <w:bCs/>
          <w:color w:val="000000" w:themeColor="text1"/>
          <w:kern w:val="0"/>
          <w:sz w:val="24"/>
          <w:szCs w:val="24"/>
        </w:rPr>
        <w:t>校准规范更新，提升测量准确性</w:t>
      </w:r>
    </w:p>
    <w:p w:rsidR="00D60FB8" w:rsidRPr="00D60FB8" w:rsidRDefault="00D60FB8" w:rsidP="00D60FB8">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D60FB8">
        <w:rPr>
          <w:rFonts w:ascii="宋体" w:eastAsia="宋体" w:hAnsi="宋体" w:cs="宋体"/>
          <w:color w:val="000000" w:themeColor="text1"/>
          <w:kern w:val="0"/>
          <w:sz w:val="24"/>
          <w:szCs w:val="24"/>
        </w:rPr>
        <w:t>2023 年 12 月 30 日正式实施的 JJF 2040 - 2023《功率分析仪校准规范》，为功率分析仪的溯源校准提供了权威依据。该规范适用于电压、电流直接输入的交直流功率分析仪，详细规定了功率校准的频率上限为 100kHz，解决了此前功率表溯源标准在宽频功率测量方面的局限。在新能源汽车电机驱动系统测试中，依据此规范校准的功率分析仪，能精准测量宽频带范围内的功率变化，确保电机性能检测数据的可靠性，助力新能源汽车技术升级。此前，功率表的溯源主要参考 JJG 124 - 2005《电流表、电压表、功率表及电阻表检定规程》和 JJG 780 - 1992《交流数字功率表检定规程》，新规范与之相比，电压、电流、频率范围更宽，且涉及更低功率因数，符合现代宽频功率测量的需求，具有显著的先进性。</w:t>
      </w:r>
    </w:p>
    <w:p w:rsidR="00D60FB8" w:rsidRPr="00D60FB8" w:rsidRDefault="00D60FB8" w:rsidP="00D60FB8">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D60FB8">
        <w:rPr>
          <w:rFonts w:ascii="宋体" w:eastAsia="宋体" w:hAnsi="宋体" w:cs="宋体"/>
          <w:b/>
          <w:bCs/>
          <w:color w:val="000000" w:themeColor="text1"/>
          <w:kern w:val="0"/>
          <w:sz w:val="24"/>
          <w:szCs w:val="24"/>
        </w:rPr>
        <w:t>标准完善，规范行业发展</w:t>
      </w:r>
    </w:p>
    <w:p w:rsidR="00D60FB8" w:rsidRPr="00D60FB8" w:rsidRDefault="00D60FB8" w:rsidP="00D60FB8">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D60FB8">
        <w:rPr>
          <w:rFonts w:ascii="宋体" w:eastAsia="宋体" w:hAnsi="宋体" w:cs="宋体"/>
          <w:color w:val="000000" w:themeColor="text1"/>
          <w:kern w:val="0"/>
          <w:sz w:val="24"/>
          <w:szCs w:val="24"/>
        </w:rPr>
        <w:t>在功率分析仪作为安装式数显仪表使用时，需遵循 GB/T 22264.1 - 2008《安装式数字显示电测量仪表 第 1 部分：定义和通用要求》以及 GB/T 22264.3 - 2008《安装式数字显示电测量仪表 第 3 部分：功率表和无功功率表的特殊要求》。这些标准对功率分析仪的术语定义、产品分类、分级及符合性，基本误差、参比条件、使用范围和改变量等性能指标</w:t>
      </w:r>
      <w:proofErr w:type="gramStart"/>
      <w:r w:rsidRPr="00D60FB8">
        <w:rPr>
          <w:rFonts w:ascii="宋体" w:eastAsia="宋体" w:hAnsi="宋体" w:cs="宋体"/>
          <w:color w:val="000000" w:themeColor="text1"/>
          <w:kern w:val="0"/>
          <w:sz w:val="24"/>
          <w:szCs w:val="24"/>
        </w:rPr>
        <w:t>作出</w:t>
      </w:r>
      <w:proofErr w:type="gramEnd"/>
      <w:r w:rsidRPr="00D60FB8">
        <w:rPr>
          <w:rFonts w:ascii="宋体" w:eastAsia="宋体" w:hAnsi="宋体" w:cs="宋体"/>
          <w:color w:val="000000" w:themeColor="text1"/>
          <w:kern w:val="0"/>
          <w:sz w:val="24"/>
          <w:szCs w:val="24"/>
        </w:rPr>
        <w:t>明确规定。例如，在工业自动化生产线中，安装的功率</w:t>
      </w:r>
      <w:proofErr w:type="gramStart"/>
      <w:r w:rsidRPr="00D60FB8">
        <w:rPr>
          <w:rFonts w:ascii="宋体" w:eastAsia="宋体" w:hAnsi="宋体" w:cs="宋体"/>
          <w:color w:val="000000" w:themeColor="text1"/>
          <w:kern w:val="0"/>
          <w:sz w:val="24"/>
          <w:szCs w:val="24"/>
        </w:rPr>
        <w:t>分析仪需满足</w:t>
      </w:r>
      <w:proofErr w:type="gramEnd"/>
      <w:r w:rsidRPr="00D60FB8">
        <w:rPr>
          <w:rFonts w:ascii="宋体" w:eastAsia="宋体" w:hAnsi="宋体" w:cs="宋体"/>
          <w:color w:val="000000" w:themeColor="text1"/>
          <w:kern w:val="0"/>
          <w:sz w:val="24"/>
          <w:szCs w:val="24"/>
        </w:rPr>
        <w:t>标准中的基本误差要求，确保对设备功率的准确监测，为生产过程的能源管理与设备运行状态评估提供可靠数据。</w:t>
      </w:r>
    </w:p>
    <w:p w:rsidR="00D60FB8" w:rsidRPr="00D60FB8" w:rsidRDefault="00D60FB8" w:rsidP="00D60FB8">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D60FB8">
        <w:rPr>
          <w:rFonts w:ascii="宋体" w:eastAsia="宋体" w:hAnsi="宋体" w:cs="宋体"/>
          <w:b/>
          <w:bCs/>
          <w:color w:val="000000" w:themeColor="text1"/>
          <w:kern w:val="0"/>
          <w:sz w:val="24"/>
          <w:szCs w:val="24"/>
        </w:rPr>
        <w:t>二、产业扶持政策：激发创新活力</w:t>
      </w:r>
    </w:p>
    <w:p w:rsidR="00D60FB8" w:rsidRPr="00D60FB8" w:rsidRDefault="00D60FB8" w:rsidP="00D60FB8">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D60FB8">
        <w:rPr>
          <w:rFonts w:ascii="宋体" w:eastAsia="宋体" w:hAnsi="宋体" w:cs="宋体"/>
          <w:b/>
          <w:bCs/>
          <w:color w:val="000000" w:themeColor="text1"/>
          <w:kern w:val="0"/>
          <w:sz w:val="24"/>
          <w:szCs w:val="24"/>
        </w:rPr>
        <w:t>科研专项支持，突破技术瓶颈</w:t>
      </w:r>
    </w:p>
    <w:p w:rsidR="00D60FB8" w:rsidRPr="00D60FB8" w:rsidRDefault="00D60FB8" w:rsidP="00D60FB8">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D60FB8">
        <w:rPr>
          <w:rFonts w:ascii="宋体" w:eastAsia="宋体" w:hAnsi="宋体" w:cs="宋体"/>
          <w:color w:val="000000" w:themeColor="text1"/>
          <w:kern w:val="0"/>
          <w:sz w:val="24"/>
          <w:szCs w:val="24"/>
        </w:rPr>
        <w:lastRenderedPageBreak/>
        <w:t>《仪器仪表行业 “十四五” 发展规划》将高性能功率分析仪列为重点突破领域，设立专项研发资金鼓励企业与高校、科研机构联合攻关。针对新能源发电中复杂的功率波动与谐波问题，某企业在政策资金支持下，成功研发出具备高精度谐波分析功能的功率分析仪，可准确测量高达 50 次以上的谐波含量，有效提升新能源发电系统的电能质量监测水平，打破国外同类产品在该领域的技术垄断。</w:t>
      </w:r>
    </w:p>
    <w:p w:rsidR="00D60FB8" w:rsidRPr="00D60FB8" w:rsidRDefault="00D60FB8" w:rsidP="00D60FB8">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D60FB8">
        <w:rPr>
          <w:rFonts w:ascii="宋体" w:eastAsia="宋体" w:hAnsi="宋体" w:cs="宋体"/>
          <w:b/>
          <w:bCs/>
          <w:color w:val="000000" w:themeColor="text1"/>
          <w:kern w:val="0"/>
          <w:sz w:val="24"/>
          <w:szCs w:val="24"/>
        </w:rPr>
        <w:t>首台（套）政策激励，加速成果转化</w:t>
      </w:r>
    </w:p>
    <w:p w:rsidR="00D60FB8" w:rsidRPr="00D60FB8" w:rsidRDefault="00D60FB8" w:rsidP="00D60FB8">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D60FB8">
        <w:rPr>
          <w:rFonts w:ascii="宋体" w:eastAsia="宋体" w:hAnsi="宋体" w:cs="宋体"/>
          <w:color w:val="000000" w:themeColor="text1"/>
          <w:kern w:val="0"/>
          <w:sz w:val="24"/>
          <w:szCs w:val="24"/>
        </w:rPr>
        <w:t>财政部联合工信部推行的首台（套）重大技术装备保险补偿政策，将新型功率分析仪纳入补贴范围。企业研发的国内首台适用于特高压输电线路功率监测的超高压大功率分析仪，可获得最高</w:t>
      </w:r>
      <w:proofErr w:type="gramStart"/>
      <w:r w:rsidRPr="00D60FB8">
        <w:rPr>
          <w:rFonts w:ascii="宋体" w:eastAsia="宋体" w:hAnsi="宋体" w:cs="宋体"/>
          <w:color w:val="000000" w:themeColor="text1"/>
          <w:kern w:val="0"/>
          <w:sz w:val="24"/>
          <w:szCs w:val="24"/>
        </w:rPr>
        <w:t>达设备</w:t>
      </w:r>
      <w:proofErr w:type="gramEnd"/>
      <w:r w:rsidRPr="00D60FB8">
        <w:rPr>
          <w:rFonts w:ascii="宋体" w:eastAsia="宋体" w:hAnsi="宋体" w:cs="宋体"/>
          <w:color w:val="000000" w:themeColor="text1"/>
          <w:kern w:val="0"/>
          <w:sz w:val="24"/>
          <w:szCs w:val="24"/>
        </w:rPr>
        <w:t>价值 30% 的保费补贴。这一政策极大降低了企业创新风险，加速了新技术、新产品从实验室走向市场的进程，推动国产功率分析仪在高端市场的应用与发展。</w:t>
      </w:r>
    </w:p>
    <w:p w:rsidR="00D60FB8" w:rsidRPr="00D60FB8" w:rsidRDefault="00D60FB8" w:rsidP="00D60FB8">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D60FB8">
        <w:rPr>
          <w:rFonts w:ascii="宋体" w:eastAsia="宋体" w:hAnsi="宋体" w:cs="宋体"/>
          <w:b/>
          <w:bCs/>
          <w:color w:val="000000" w:themeColor="text1"/>
          <w:kern w:val="0"/>
          <w:sz w:val="24"/>
          <w:szCs w:val="24"/>
        </w:rPr>
        <w:t>三、安全与市场监管政策：维护行业秩序</w:t>
      </w:r>
    </w:p>
    <w:p w:rsidR="00D60FB8" w:rsidRPr="00D60FB8" w:rsidRDefault="00D60FB8" w:rsidP="00D60FB8">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D60FB8">
        <w:rPr>
          <w:rFonts w:ascii="宋体" w:eastAsia="宋体" w:hAnsi="宋体" w:cs="宋体"/>
          <w:b/>
          <w:bCs/>
          <w:color w:val="000000" w:themeColor="text1"/>
          <w:kern w:val="0"/>
          <w:sz w:val="24"/>
          <w:szCs w:val="24"/>
        </w:rPr>
        <w:t>安全标准严守质量底线</w:t>
      </w:r>
    </w:p>
    <w:p w:rsidR="00D60FB8" w:rsidRPr="00D60FB8" w:rsidRDefault="00D60FB8" w:rsidP="00D60FB8">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D60FB8">
        <w:rPr>
          <w:rFonts w:ascii="宋体" w:eastAsia="宋体" w:hAnsi="宋体" w:cs="宋体"/>
          <w:color w:val="000000" w:themeColor="text1"/>
          <w:kern w:val="0"/>
          <w:sz w:val="24"/>
          <w:szCs w:val="24"/>
        </w:rPr>
        <w:t>在国内，功率分析仪生产销售必须符合 GB 4793.1 - 2013《测量、控制和实验室用电气设备的安全要求 第 1 部分：通用要求》，该标准从电气安全、机械安全、</w:t>
      </w:r>
      <w:proofErr w:type="gramStart"/>
      <w:r w:rsidRPr="00D60FB8">
        <w:rPr>
          <w:rFonts w:ascii="宋体" w:eastAsia="宋体" w:hAnsi="宋体" w:cs="宋体"/>
          <w:color w:val="000000" w:themeColor="text1"/>
          <w:kern w:val="0"/>
          <w:sz w:val="24"/>
          <w:szCs w:val="24"/>
        </w:rPr>
        <w:t>热安全</w:t>
      </w:r>
      <w:proofErr w:type="gramEnd"/>
      <w:r w:rsidRPr="00D60FB8">
        <w:rPr>
          <w:rFonts w:ascii="宋体" w:eastAsia="宋体" w:hAnsi="宋体" w:cs="宋体"/>
          <w:color w:val="000000" w:themeColor="text1"/>
          <w:kern w:val="0"/>
          <w:sz w:val="24"/>
          <w:szCs w:val="24"/>
        </w:rPr>
        <w:t>等多方面进行严格规范，保障使用者人身安全与设备稳定运行。国际上，需遵循 IEC 61010 系列标准，满足不同国家和地区的市场准入要求。例如，出口欧洲的功率</w:t>
      </w:r>
      <w:proofErr w:type="gramStart"/>
      <w:r w:rsidRPr="00D60FB8">
        <w:rPr>
          <w:rFonts w:ascii="宋体" w:eastAsia="宋体" w:hAnsi="宋体" w:cs="宋体"/>
          <w:color w:val="000000" w:themeColor="text1"/>
          <w:kern w:val="0"/>
          <w:sz w:val="24"/>
          <w:szCs w:val="24"/>
        </w:rPr>
        <w:t>分析仪需符合</w:t>
      </w:r>
      <w:proofErr w:type="gramEnd"/>
      <w:r w:rsidRPr="00D60FB8">
        <w:rPr>
          <w:rFonts w:ascii="宋体" w:eastAsia="宋体" w:hAnsi="宋体" w:cs="宋体"/>
          <w:color w:val="000000" w:themeColor="text1"/>
          <w:kern w:val="0"/>
          <w:sz w:val="24"/>
          <w:szCs w:val="24"/>
        </w:rPr>
        <w:t>欧盟低电压指令（LVD）、电磁兼容指令（EMC），通过 CE 认证，确保产品在国际市场的质量竞争力。</w:t>
      </w:r>
    </w:p>
    <w:p w:rsidR="00D60FB8" w:rsidRPr="00D60FB8" w:rsidRDefault="00D60FB8" w:rsidP="00D60FB8">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D60FB8">
        <w:rPr>
          <w:rFonts w:ascii="宋体" w:eastAsia="宋体" w:hAnsi="宋体" w:cs="宋体"/>
          <w:b/>
          <w:bCs/>
          <w:color w:val="000000" w:themeColor="text1"/>
          <w:kern w:val="0"/>
          <w:sz w:val="24"/>
          <w:szCs w:val="24"/>
        </w:rPr>
        <w:t>市场监管规范行业生态</w:t>
      </w:r>
    </w:p>
    <w:p w:rsidR="00D60FB8" w:rsidRPr="00D60FB8" w:rsidRDefault="00D60FB8" w:rsidP="00D60FB8">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D60FB8">
        <w:rPr>
          <w:rFonts w:ascii="宋体" w:eastAsia="宋体" w:hAnsi="宋体" w:cs="宋体"/>
          <w:color w:val="000000" w:themeColor="text1"/>
          <w:kern w:val="0"/>
          <w:sz w:val="24"/>
          <w:szCs w:val="24"/>
        </w:rPr>
        <w:t>市场监管总局加强对功率分析</w:t>
      </w:r>
      <w:proofErr w:type="gramStart"/>
      <w:r w:rsidRPr="00D60FB8">
        <w:rPr>
          <w:rFonts w:ascii="宋体" w:eastAsia="宋体" w:hAnsi="宋体" w:cs="宋体"/>
          <w:color w:val="000000" w:themeColor="text1"/>
          <w:kern w:val="0"/>
          <w:sz w:val="24"/>
          <w:szCs w:val="24"/>
        </w:rPr>
        <w:t>仪市场</w:t>
      </w:r>
      <w:proofErr w:type="gramEnd"/>
      <w:r w:rsidRPr="00D60FB8">
        <w:rPr>
          <w:rFonts w:ascii="宋体" w:eastAsia="宋体" w:hAnsi="宋体" w:cs="宋体"/>
          <w:color w:val="000000" w:themeColor="text1"/>
          <w:kern w:val="0"/>
          <w:sz w:val="24"/>
          <w:szCs w:val="24"/>
        </w:rPr>
        <w:t>的监督检查，严格审查产品质量认证与计量认证情况。要求功率分析仪产品必须具备 CMA（中国计量认证）和 CMC（制造计量器具许可证），对不符合标准的产品依法进行查处，维护市场秩序，保护消费者权益。同时，海关对进口功率分析</w:t>
      </w:r>
      <w:proofErr w:type="gramStart"/>
      <w:r w:rsidRPr="00D60FB8">
        <w:rPr>
          <w:rFonts w:ascii="宋体" w:eastAsia="宋体" w:hAnsi="宋体" w:cs="宋体"/>
          <w:color w:val="000000" w:themeColor="text1"/>
          <w:kern w:val="0"/>
          <w:sz w:val="24"/>
          <w:szCs w:val="24"/>
        </w:rPr>
        <w:t>仪实施</w:t>
      </w:r>
      <w:proofErr w:type="gramEnd"/>
      <w:r w:rsidRPr="00D60FB8">
        <w:rPr>
          <w:rFonts w:ascii="宋体" w:eastAsia="宋体" w:hAnsi="宋体" w:cs="宋体"/>
          <w:color w:val="000000" w:themeColor="text1"/>
          <w:kern w:val="0"/>
          <w:sz w:val="24"/>
          <w:szCs w:val="24"/>
        </w:rPr>
        <w:t>严格的技术参数核查，防止不合格产品流入国内市场，营造公平竞争的市场环境。</w:t>
      </w:r>
    </w:p>
    <w:p w:rsidR="00D02623" w:rsidRPr="00D60FB8" w:rsidRDefault="00D60FB8" w:rsidP="00D60FB8">
      <w:pPr>
        <w:widowControl/>
        <w:shd w:val="clear" w:color="auto" w:fill="FFFFFF"/>
        <w:spacing w:line="360" w:lineRule="auto"/>
        <w:ind w:firstLineChars="200" w:firstLine="480"/>
        <w:jc w:val="left"/>
        <w:rPr>
          <w:rFonts w:ascii="宋体" w:eastAsia="宋体" w:hAnsi="宋体"/>
          <w:color w:val="000000" w:themeColor="text1"/>
          <w:sz w:val="24"/>
          <w:szCs w:val="24"/>
        </w:rPr>
      </w:pPr>
      <w:r w:rsidRPr="00D60FB8">
        <w:rPr>
          <w:rFonts w:ascii="宋体" w:eastAsia="宋体" w:hAnsi="宋体" w:cs="宋体"/>
          <w:color w:val="000000" w:themeColor="text1"/>
          <w:kern w:val="0"/>
          <w:sz w:val="24"/>
          <w:szCs w:val="24"/>
        </w:rPr>
        <w:t>功率分析</w:t>
      </w:r>
      <w:proofErr w:type="gramStart"/>
      <w:r w:rsidRPr="00D60FB8">
        <w:rPr>
          <w:rFonts w:ascii="宋体" w:eastAsia="宋体" w:hAnsi="宋体" w:cs="宋体"/>
          <w:color w:val="000000" w:themeColor="text1"/>
          <w:kern w:val="0"/>
          <w:sz w:val="24"/>
          <w:szCs w:val="24"/>
        </w:rPr>
        <w:t>仪相关</w:t>
      </w:r>
      <w:proofErr w:type="gramEnd"/>
      <w:r w:rsidRPr="00D60FB8">
        <w:rPr>
          <w:rFonts w:ascii="宋体" w:eastAsia="宋体" w:hAnsi="宋体" w:cs="宋体"/>
          <w:color w:val="000000" w:themeColor="text1"/>
          <w:kern w:val="0"/>
          <w:sz w:val="24"/>
          <w:szCs w:val="24"/>
        </w:rPr>
        <w:t>政策从计量标准、产业扶持到安全与市场监管，构建起完整的行业发展支撑体系。</w:t>
      </w:r>
      <w:proofErr w:type="gramStart"/>
      <w:r w:rsidRPr="00D60FB8">
        <w:rPr>
          <w:rFonts w:ascii="宋体" w:eastAsia="宋体" w:hAnsi="宋体" w:cs="宋体"/>
          <w:color w:val="000000" w:themeColor="text1"/>
          <w:kern w:val="0"/>
          <w:sz w:val="24"/>
          <w:szCs w:val="24"/>
        </w:rPr>
        <w:t>仪商网</w:t>
      </w:r>
      <w:proofErr w:type="gramEnd"/>
      <w:r w:rsidRPr="00D60FB8">
        <w:rPr>
          <w:rFonts w:ascii="宋体" w:eastAsia="宋体" w:hAnsi="宋体" w:cs="宋体"/>
          <w:color w:val="000000" w:themeColor="text1"/>
          <w:kern w:val="0"/>
          <w:sz w:val="24"/>
          <w:szCs w:val="24"/>
        </w:rPr>
        <w:t>将持续关注政策动态，为行业提供最新资讯与深度解读，助力企业在政策引导下，不断提升技术水平、产品质量与市场竞争力，推动功率分析</w:t>
      </w:r>
      <w:proofErr w:type="gramStart"/>
      <w:r w:rsidRPr="00D60FB8">
        <w:rPr>
          <w:rFonts w:ascii="宋体" w:eastAsia="宋体" w:hAnsi="宋体" w:cs="宋体"/>
          <w:color w:val="000000" w:themeColor="text1"/>
          <w:kern w:val="0"/>
          <w:sz w:val="24"/>
          <w:szCs w:val="24"/>
        </w:rPr>
        <w:t>仪行业</w:t>
      </w:r>
      <w:proofErr w:type="gramEnd"/>
      <w:r w:rsidRPr="00D60FB8">
        <w:rPr>
          <w:rFonts w:ascii="宋体" w:eastAsia="宋体" w:hAnsi="宋体" w:cs="宋体"/>
          <w:color w:val="000000" w:themeColor="text1"/>
          <w:kern w:val="0"/>
          <w:sz w:val="24"/>
          <w:szCs w:val="24"/>
        </w:rPr>
        <w:t>迈向高质量发展新征程。</w:t>
      </w:r>
    </w:p>
    <w:sectPr w:rsidR="00D02623" w:rsidRPr="00D60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2A8"/>
    <w:rsid w:val="000763EE"/>
    <w:rsid w:val="001E2470"/>
    <w:rsid w:val="00255EF1"/>
    <w:rsid w:val="0031467B"/>
    <w:rsid w:val="003C2455"/>
    <w:rsid w:val="00484D36"/>
    <w:rsid w:val="00692EAA"/>
    <w:rsid w:val="00703FE1"/>
    <w:rsid w:val="00804B5B"/>
    <w:rsid w:val="008E5C5E"/>
    <w:rsid w:val="009066AF"/>
    <w:rsid w:val="00AD21A1"/>
    <w:rsid w:val="00BF72A8"/>
    <w:rsid w:val="00D02623"/>
    <w:rsid w:val="00D60FB8"/>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60FB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60FB8"/>
    <w:rPr>
      <w:rFonts w:ascii="宋体" w:eastAsia="宋体" w:hAnsi="宋体" w:cs="宋体"/>
      <w:b/>
      <w:bCs/>
      <w:kern w:val="36"/>
      <w:sz w:val="48"/>
      <w:szCs w:val="48"/>
    </w:rPr>
  </w:style>
  <w:style w:type="paragraph" w:styleId="a3">
    <w:name w:val="Normal (Web)"/>
    <w:basedOn w:val="a"/>
    <w:uiPriority w:val="99"/>
    <w:semiHidden/>
    <w:unhideWhenUsed/>
    <w:rsid w:val="00D60FB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60F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60FB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60FB8"/>
    <w:rPr>
      <w:rFonts w:ascii="宋体" w:eastAsia="宋体" w:hAnsi="宋体" w:cs="宋体"/>
      <w:b/>
      <w:bCs/>
      <w:kern w:val="36"/>
      <w:sz w:val="48"/>
      <w:szCs w:val="48"/>
    </w:rPr>
  </w:style>
  <w:style w:type="paragraph" w:styleId="a3">
    <w:name w:val="Normal (Web)"/>
    <w:basedOn w:val="a"/>
    <w:uiPriority w:val="99"/>
    <w:semiHidden/>
    <w:unhideWhenUsed/>
    <w:rsid w:val="00D60FB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60F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427146">
      <w:bodyDiv w:val="1"/>
      <w:marLeft w:val="0"/>
      <w:marRight w:val="0"/>
      <w:marTop w:val="0"/>
      <w:marBottom w:val="0"/>
      <w:divBdr>
        <w:top w:val="none" w:sz="0" w:space="0" w:color="auto"/>
        <w:left w:val="none" w:sz="0" w:space="0" w:color="auto"/>
        <w:bottom w:val="none" w:sz="0" w:space="0" w:color="auto"/>
        <w:right w:val="none" w:sz="0" w:space="0" w:color="auto"/>
      </w:divBdr>
      <w:divsChild>
        <w:div w:id="1112237644">
          <w:marLeft w:val="0"/>
          <w:marRight w:val="0"/>
          <w:marTop w:val="165"/>
          <w:marBottom w:val="0"/>
          <w:divBdr>
            <w:top w:val="none" w:sz="0" w:space="0" w:color="auto"/>
            <w:left w:val="none" w:sz="0" w:space="0" w:color="auto"/>
            <w:bottom w:val="none" w:sz="0" w:space="0" w:color="auto"/>
            <w:right w:val="none" w:sz="0" w:space="0" w:color="auto"/>
          </w:divBdr>
        </w:div>
        <w:div w:id="1451973953">
          <w:marLeft w:val="0"/>
          <w:marRight w:val="0"/>
          <w:marTop w:val="0"/>
          <w:marBottom w:val="0"/>
          <w:divBdr>
            <w:top w:val="none" w:sz="0" w:space="0" w:color="auto"/>
            <w:left w:val="none" w:sz="0" w:space="0" w:color="auto"/>
            <w:bottom w:val="none" w:sz="0" w:space="0" w:color="auto"/>
            <w:right w:val="none" w:sz="0" w:space="0" w:color="auto"/>
          </w:divBdr>
          <w:divsChild>
            <w:div w:id="903486922">
              <w:marLeft w:val="0"/>
              <w:marRight w:val="0"/>
              <w:marTop w:val="0"/>
              <w:marBottom w:val="0"/>
              <w:divBdr>
                <w:top w:val="none" w:sz="0" w:space="0" w:color="auto"/>
                <w:left w:val="none" w:sz="0" w:space="0" w:color="auto"/>
                <w:bottom w:val="none" w:sz="0" w:space="0" w:color="auto"/>
                <w:right w:val="none" w:sz="0" w:space="0" w:color="auto"/>
              </w:divBdr>
              <w:divsChild>
                <w:div w:id="1628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4188">
          <w:marLeft w:val="0"/>
          <w:marRight w:val="0"/>
          <w:marTop w:val="0"/>
          <w:marBottom w:val="0"/>
          <w:divBdr>
            <w:top w:val="none" w:sz="0" w:space="0" w:color="auto"/>
            <w:left w:val="none" w:sz="0" w:space="0" w:color="auto"/>
            <w:bottom w:val="none" w:sz="0" w:space="0" w:color="auto"/>
            <w:right w:val="none" w:sz="0" w:space="0" w:color="auto"/>
          </w:divBdr>
          <w:divsChild>
            <w:div w:id="8896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268</Words>
  <Characters>1534</Characters>
  <Application>Microsoft Office Word</Application>
  <DocSecurity>0</DocSecurity>
  <Lines>12</Lines>
  <Paragraphs>3</Paragraphs>
  <ScaleCrop>false</ScaleCrop>
  <Company>Organization</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2025-06-12T07:38:00Z</dcterms:created>
  <dcterms:modified xsi:type="dcterms:W3CDTF">2025-06-12T07:40:00Z</dcterms:modified>
</cp:coreProperties>
</file>