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FB8" w:rsidRPr="00D60FB8" w:rsidRDefault="00D60FB8" w:rsidP="00D60FB8">
      <w:pPr>
        <w:widowControl/>
        <w:shd w:val="clear" w:color="auto" w:fill="FFFFFF"/>
        <w:spacing w:line="360" w:lineRule="auto"/>
        <w:jc w:val="center"/>
        <w:outlineLvl w:val="0"/>
        <w:rPr>
          <w:rFonts w:ascii="黑体" w:eastAsia="黑体" w:hAnsi="黑体" w:cs="宋体"/>
          <w:b/>
          <w:bCs/>
          <w:color w:val="000000" w:themeColor="text1"/>
          <w:kern w:val="36"/>
          <w:sz w:val="28"/>
          <w:szCs w:val="28"/>
        </w:rPr>
      </w:pPr>
      <w:bookmarkStart w:id="0" w:name="_GoBack"/>
      <w:r w:rsidRPr="00D60FB8">
        <w:rPr>
          <w:rFonts w:ascii="黑体" w:eastAsia="黑体" w:hAnsi="黑体" w:cs="宋体" w:hint="eastAsia"/>
          <w:b/>
          <w:bCs/>
          <w:color w:val="000000" w:themeColor="text1"/>
          <w:kern w:val="36"/>
          <w:sz w:val="28"/>
          <w:szCs w:val="28"/>
        </w:rPr>
        <w:t>功率分析</w:t>
      </w:r>
      <w:proofErr w:type="gramStart"/>
      <w:r w:rsidRPr="00D60FB8">
        <w:rPr>
          <w:rFonts w:ascii="黑体" w:eastAsia="黑体" w:hAnsi="黑体" w:cs="宋体" w:hint="eastAsia"/>
          <w:b/>
          <w:bCs/>
          <w:color w:val="000000" w:themeColor="text1"/>
          <w:kern w:val="36"/>
          <w:sz w:val="28"/>
          <w:szCs w:val="28"/>
        </w:rPr>
        <w:t>仪相关</w:t>
      </w:r>
      <w:proofErr w:type="gramEnd"/>
      <w:r w:rsidRPr="00D60FB8">
        <w:rPr>
          <w:rFonts w:ascii="黑体" w:eastAsia="黑体" w:hAnsi="黑体" w:cs="宋体" w:hint="eastAsia"/>
          <w:b/>
          <w:bCs/>
          <w:color w:val="000000" w:themeColor="text1"/>
          <w:kern w:val="36"/>
          <w:sz w:val="28"/>
          <w:szCs w:val="28"/>
        </w:rPr>
        <w:t>政策解读：驱动行业前行的引擎</w:t>
      </w:r>
    </w:p>
    <w:bookmarkEnd w:id="0"/>
    <w:p w:rsidR="00D60FB8" w:rsidRPr="00D60FB8" w:rsidRDefault="00D60FB8" w:rsidP="00D60FB8">
      <w:pPr>
        <w:widowControl/>
        <w:shd w:val="clear" w:color="auto" w:fill="FFFFFF"/>
        <w:spacing w:line="360" w:lineRule="auto"/>
        <w:jc w:val="center"/>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来源：</w:t>
      </w:r>
      <w:proofErr w:type="gramStart"/>
      <w:r w:rsidRPr="00D60FB8">
        <w:rPr>
          <w:rFonts w:ascii="宋体" w:eastAsia="宋体" w:hAnsi="宋体" w:cs="宋体"/>
          <w:color w:val="000000" w:themeColor="text1"/>
          <w:kern w:val="0"/>
          <w:sz w:val="24"/>
          <w:szCs w:val="24"/>
        </w:rPr>
        <w:t>仪商网</w:t>
      </w:r>
      <w:proofErr w:type="gramEnd"/>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在仪器仪表领域，功率分析仪作为精准测量与分析电力参数的关键设备，广泛应用于电力电子、新能源、工业自动化等众多核心行业。从电动汽车充电桩的性能检测，到风力发电站的功率优化，功率分析仪的准确性与可靠性至关重要。政策作为行业发展的风向标，从技术规范、产业扶持到市场监管，全方位为功率分析</w:t>
      </w:r>
      <w:proofErr w:type="gramStart"/>
      <w:r w:rsidRPr="00D60FB8">
        <w:rPr>
          <w:rFonts w:ascii="宋体" w:eastAsia="宋体" w:hAnsi="宋体" w:cs="宋体"/>
          <w:color w:val="000000" w:themeColor="text1"/>
          <w:kern w:val="0"/>
          <w:sz w:val="24"/>
          <w:szCs w:val="24"/>
        </w:rPr>
        <w:t>仪行业</w:t>
      </w:r>
      <w:proofErr w:type="gramEnd"/>
      <w:r w:rsidRPr="00D60FB8">
        <w:rPr>
          <w:rFonts w:ascii="宋体" w:eastAsia="宋体" w:hAnsi="宋体" w:cs="宋体"/>
          <w:color w:val="000000" w:themeColor="text1"/>
          <w:kern w:val="0"/>
          <w:sz w:val="24"/>
          <w:szCs w:val="24"/>
        </w:rPr>
        <w:t>的发展保驾护航。</w:t>
      </w:r>
      <w:proofErr w:type="gramStart"/>
      <w:r w:rsidRPr="00D60FB8">
        <w:rPr>
          <w:rFonts w:ascii="宋体" w:eastAsia="宋体" w:hAnsi="宋体" w:cs="宋体"/>
          <w:color w:val="000000" w:themeColor="text1"/>
          <w:kern w:val="0"/>
          <w:sz w:val="24"/>
          <w:szCs w:val="24"/>
        </w:rPr>
        <w:t>仪商网</w:t>
      </w:r>
      <w:proofErr w:type="gramEnd"/>
      <w:r w:rsidRPr="00D60FB8">
        <w:rPr>
          <w:rFonts w:ascii="宋体" w:eastAsia="宋体" w:hAnsi="宋体" w:cs="宋体"/>
          <w:color w:val="000000" w:themeColor="text1"/>
          <w:kern w:val="0"/>
          <w:sz w:val="24"/>
          <w:szCs w:val="24"/>
        </w:rPr>
        <w:t>为您深入解读相关政策要点，助力行业从业者把握发展机遇。</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一、计量标准政策：夯实测量精度基石</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校准规范更新，提升测量准确性</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2023 年 12 月 30 日正式实施的 JJF 2040 - 2023《功率分析仪校准规范》，为功率分析仪的溯源校准提供了权威依据。该规范适用于电压、电流直接输入的交直流功率分析仪，详细规定了功率校准的频率上限为 100kHz，解决了此前功率表溯源标准在宽频功率测量方面的局限。在新能源汽车电机驱动系统测试中，依据此规范校准的功率分析仪，能精准测量宽频带范围内的功率变化，确保电机性能检测数据的可靠性，助力新能源汽车技术升级。此前，功率表的溯源主要参考 JJG 124 - 2005《电流表、电压表、功率表及电阻表检定规程》和 JJG 780 - 1992《交流数字功率表检定规程》，新规范与之相比，电压、电流、频率范围更宽，且涉及更低功率因数，符合现代宽频功率测量的需求，具有显著的先进性。</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标准完善，规范行业发展</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在功率分析仪作为安装式数显仪表使用时，需遵循 GB/T 22264.1 - 2008《安装式数字显示电测量仪表 第 1 部分：定义和通用要求》以及 GB/T 22264.3 - 2008《安装式数字显示电测量仪表 第 3 部分：功率表和无功功率表的特殊要求》。这些标准对功率分析仪的术语定义、产品分类、分级及符合性，基本误差、参比条件、使用范围和改变量等性能指标</w:t>
      </w:r>
      <w:proofErr w:type="gramStart"/>
      <w:r w:rsidRPr="00D60FB8">
        <w:rPr>
          <w:rFonts w:ascii="宋体" w:eastAsia="宋体" w:hAnsi="宋体" w:cs="宋体"/>
          <w:color w:val="000000" w:themeColor="text1"/>
          <w:kern w:val="0"/>
          <w:sz w:val="24"/>
          <w:szCs w:val="24"/>
        </w:rPr>
        <w:t>作出</w:t>
      </w:r>
      <w:proofErr w:type="gramEnd"/>
      <w:r w:rsidRPr="00D60FB8">
        <w:rPr>
          <w:rFonts w:ascii="宋体" w:eastAsia="宋体" w:hAnsi="宋体" w:cs="宋体"/>
          <w:color w:val="000000" w:themeColor="text1"/>
          <w:kern w:val="0"/>
          <w:sz w:val="24"/>
          <w:szCs w:val="24"/>
        </w:rPr>
        <w:t>明确规定。例如，在工业自动化生产线中，安装的功率</w:t>
      </w:r>
      <w:proofErr w:type="gramStart"/>
      <w:r w:rsidRPr="00D60FB8">
        <w:rPr>
          <w:rFonts w:ascii="宋体" w:eastAsia="宋体" w:hAnsi="宋体" w:cs="宋体"/>
          <w:color w:val="000000" w:themeColor="text1"/>
          <w:kern w:val="0"/>
          <w:sz w:val="24"/>
          <w:szCs w:val="24"/>
        </w:rPr>
        <w:t>分析仪需满足</w:t>
      </w:r>
      <w:proofErr w:type="gramEnd"/>
      <w:r w:rsidRPr="00D60FB8">
        <w:rPr>
          <w:rFonts w:ascii="宋体" w:eastAsia="宋体" w:hAnsi="宋体" w:cs="宋体"/>
          <w:color w:val="000000" w:themeColor="text1"/>
          <w:kern w:val="0"/>
          <w:sz w:val="24"/>
          <w:szCs w:val="24"/>
        </w:rPr>
        <w:t>标准中的基本误差要求，确保对设备功率的准确监测，为生产过程的能源管理与设备运行状态评估提供可靠数据。</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二、产业扶持政策：激发创新活力</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科研专项支持，突破技术瓶颈</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lastRenderedPageBreak/>
        <w:t>《仪器仪表行业 “十四五” 发展规划》将高性能功率分析仪列为重点突破领域，设立专项研发资金鼓励企业与高校、科研机构联合攻关。针对新能源发电中复杂的功率波动与谐波问题，某企业在政策资金支持下，成功研发出具备高精度谐波分析功能的功率分析仪，可准确测量高达 50 次以上的谐波含量，有效提升新能源发电系统的电能质量监测水平，打破国外同类产品在该领域的技术垄断。</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首台（套）政策激励，加速成果转化</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财政部联合工信部推行的首台（套）重大技术装备保险补偿政策，将新型功率分析仪纳入补贴范围。企业研发的国内首台适用于特高压输电线路功率监测的超高压大功率分析仪，可获得最高</w:t>
      </w:r>
      <w:proofErr w:type="gramStart"/>
      <w:r w:rsidRPr="00D60FB8">
        <w:rPr>
          <w:rFonts w:ascii="宋体" w:eastAsia="宋体" w:hAnsi="宋体" w:cs="宋体"/>
          <w:color w:val="000000" w:themeColor="text1"/>
          <w:kern w:val="0"/>
          <w:sz w:val="24"/>
          <w:szCs w:val="24"/>
        </w:rPr>
        <w:t>达设备</w:t>
      </w:r>
      <w:proofErr w:type="gramEnd"/>
      <w:r w:rsidRPr="00D60FB8">
        <w:rPr>
          <w:rFonts w:ascii="宋体" w:eastAsia="宋体" w:hAnsi="宋体" w:cs="宋体"/>
          <w:color w:val="000000" w:themeColor="text1"/>
          <w:kern w:val="0"/>
          <w:sz w:val="24"/>
          <w:szCs w:val="24"/>
        </w:rPr>
        <w:t>价值 30% 的保费补贴。这一政策极大降低了企业创新风险，加速了新技术、新产品从实验室走向市场的进程，推动国产功率分析仪在高端市场的应用与发展。</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三、安全与市场监管政策：维护行业秩序</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安全标准严守质量底线</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在国内，功率分析仪生产销售必须符合 GB 4793.1 - 2013《测量、控制和实验室用电气设备的安全要求 第 1 部分：通用要求》，该标准从电气安全、机械安全、</w:t>
      </w:r>
      <w:proofErr w:type="gramStart"/>
      <w:r w:rsidRPr="00D60FB8">
        <w:rPr>
          <w:rFonts w:ascii="宋体" w:eastAsia="宋体" w:hAnsi="宋体" w:cs="宋体"/>
          <w:color w:val="000000" w:themeColor="text1"/>
          <w:kern w:val="0"/>
          <w:sz w:val="24"/>
          <w:szCs w:val="24"/>
        </w:rPr>
        <w:t>热安全</w:t>
      </w:r>
      <w:proofErr w:type="gramEnd"/>
      <w:r w:rsidRPr="00D60FB8">
        <w:rPr>
          <w:rFonts w:ascii="宋体" w:eastAsia="宋体" w:hAnsi="宋体" w:cs="宋体"/>
          <w:color w:val="000000" w:themeColor="text1"/>
          <w:kern w:val="0"/>
          <w:sz w:val="24"/>
          <w:szCs w:val="24"/>
        </w:rPr>
        <w:t>等多方面进行严格规范，保障使用者人身安全与设备稳定运行。国际上，需遵循 IEC 61010 系列标准，满足不同国家和地区的市场准入要求。例如，出口欧洲的功率</w:t>
      </w:r>
      <w:proofErr w:type="gramStart"/>
      <w:r w:rsidRPr="00D60FB8">
        <w:rPr>
          <w:rFonts w:ascii="宋体" w:eastAsia="宋体" w:hAnsi="宋体" w:cs="宋体"/>
          <w:color w:val="000000" w:themeColor="text1"/>
          <w:kern w:val="0"/>
          <w:sz w:val="24"/>
          <w:szCs w:val="24"/>
        </w:rPr>
        <w:t>分析仪需符合</w:t>
      </w:r>
      <w:proofErr w:type="gramEnd"/>
      <w:r w:rsidRPr="00D60FB8">
        <w:rPr>
          <w:rFonts w:ascii="宋体" w:eastAsia="宋体" w:hAnsi="宋体" w:cs="宋体"/>
          <w:color w:val="000000" w:themeColor="text1"/>
          <w:kern w:val="0"/>
          <w:sz w:val="24"/>
          <w:szCs w:val="24"/>
        </w:rPr>
        <w:t>欧盟低电压指令（LVD）、电磁兼容指令（EMC），通过 CE 认证，确保产品在国际市场的质量竞争力。</w:t>
      </w:r>
    </w:p>
    <w:p w:rsidR="00D60FB8" w:rsidRPr="00D60FB8" w:rsidRDefault="00D60FB8" w:rsidP="00D60FB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D60FB8">
        <w:rPr>
          <w:rFonts w:ascii="宋体" w:eastAsia="宋体" w:hAnsi="宋体" w:cs="宋体"/>
          <w:b/>
          <w:bCs/>
          <w:color w:val="000000" w:themeColor="text1"/>
          <w:kern w:val="0"/>
          <w:sz w:val="24"/>
          <w:szCs w:val="24"/>
        </w:rPr>
        <w:t>市场监管规范行业生态</w:t>
      </w:r>
    </w:p>
    <w:p w:rsidR="00D60FB8" w:rsidRPr="00D60FB8" w:rsidRDefault="00D60FB8" w:rsidP="00D60FB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D60FB8">
        <w:rPr>
          <w:rFonts w:ascii="宋体" w:eastAsia="宋体" w:hAnsi="宋体" w:cs="宋体"/>
          <w:color w:val="000000" w:themeColor="text1"/>
          <w:kern w:val="0"/>
          <w:sz w:val="24"/>
          <w:szCs w:val="24"/>
        </w:rPr>
        <w:t>市场监管总局加强对功率分析</w:t>
      </w:r>
      <w:proofErr w:type="gramStart"/>
      <w:r w:rsidRPr="00D60FB8">
        <w:rPr>
          <w:rFonts w:ascii="宋体" w:eastAsia="宋体" w:hAnsi="宋体" w:cs="宋体"/>
          <w:color w:val="000000" w:themeColor="text1"/>
          <w:kern w:val="0"/>
          <w:sz w:val="24"/>
          <w:szCs w:val="24"/>
        </w:rPr>
        <w:t>仪市场</w:t>
      </w:r>
      <w:proofErr w:type="gramEnd"/>
      <w:r w:rsidRPr="00D60FB8">
        <w:rPr>
          <w:rFonts w:ascii="宋体" w:eastAsia="宋体" w:hAnsi="宋体" w:cs="宋体"/>
          <w:color w:val="000000" w:themeColor="text1"/>
          <w:kern w:val="0"/>
          <w:sz w:val="24"/>
          <w:szCs w:val="24"/>
        </w:rPr>
        <w:t>的监督检查，严格审查产品质量认证与计量认证情况。要求功率分析仪产品必须具备 CMA（中国计量认证）和 CMC（制造计量器具许可证），对不符合标准的产品依法进行查处，维护市场秩序，保护消费者权益。同时，海关对进口功率分析</w:t>
      </w:r>
      <w:proofErr w:type="gramStart"/>
      <w:r w:rsidRPr="00D60FB8">
        <w:rPr>
          <w:rFonts w:ascii="宋体" w:eastAsia="宋体" w:hAnsi="宋体" w:cs="宋体"/>
          <w:color w:val="000000" w:themeColor="text1"/>
          <w:kern w:val="0"/>
          <w:sz w:val="24"/>
          <w:szCs w:val="24"/>
        </w:rPr>
        <w:t>仪实施</w:t>
      </w:r>
      <w:proofErr w:type="gramEnd"/>
      <w:r w:rsidRPr="00D60FB8">
        <w:rPr>
          <w:rFonts w:ascii="宋体" w:eastAsia="宋体" w:hAnsi="宋体" w:cs="宋体"/>
          <w:color w:val="000000" w:themeColor="text1"/>
          <w:kern w:val="0"/>
          <w:sz w:val="24"/>
          <w:szCs w:val="24"/>
        </w:rPr>
        <w:t>严格的技术参数核查，防止不合格产品流入国内市场，营造公平竞争的市场环境。</w:t>
      </w:r>
    </w:p>
    <w:p w:rsidR="00D02623" w:rsidRPr="00D60FB8" w:rsidRDefault="00D60FB8" w:rsidP="00D60FB8">
      <w:pPr>
        <w:widowControl/>
        <w:shd w:val="clear" w:color="auto" w:fill="FFFFFF"/>
        <w:spacing w:line="360" w:lineRule="auto"/>
        <w:ind w:firstLineChars="200" w:firstLine="480"/>
        <w:jc w:val="left"/>
        <w:rPr>
          <w:rFonts w:ascii="宋体" w:eastAsia="宋体" w:hAnsi="宋体"/>
          <w:color w:val="000000" w:themeColor="text1"/>
          <w:sz w:val="24"/>
          <w:szCs w:val="24"/>
        </w:rPr>
      </w:pPr>
      <w:r w:rsidRPr="00D60FB8">
        <w:rPr>
          <w:rFonts w:ascii="宋体" w:eastAsia="宋体" w:hAnsi="宋体" w:cs="宋体"/>
          <w:color w:val="000000" w:themeColor="text1"/>
          <w:kern w:val="0"/>
          <w:sz w:val="24"/>
          <w:szCs w:val="24"/>
        </w:rPr>
        <w:t>功率分析</w:t>
      </w:r>
      <w:proofErr w:type="gramStart"/>
      <w:r w:rsidRPr="00D60FB8">
        <w:rPr>
          <w:rFonts w:ascii="宋体" w:eastAsia="宋体" w:hAnsi="宋体" w:cs="宋体"/>
          <w:color w:val="000000" w:themeColor="text1"/>
          <w:kern w:val="0"/>
          <w:sz w:val="24"/>
          <w:szCs w:val="24"/>
        </w:rPr>
        <w:t>仪相关</w:t>
      </w:r>
      <w:proofErr w:type="gramEnd"/>
      <w:r w:rsidRPr="00D60FB8">
        <w:rPr>
          <w:rFonts w:ascii="宋体" w:eastAsia="宋体" w:hAnsi="宋体" w:cs="宋体"/>
          <w:color w:val="000000" w:themeColor="text1"/>
          <w:kern w:val="0"/>
          <w:sz w:val="24"/>
          <w:szCs w:val="24"/>
        </w:rPr>
        <w:t>政策从计量标准、产业扶持到安全与市场监管，构建起完整的行业发展支撑体系。</w:t>
      </w:r>
      <w:proofErr w:type="gramStart"/>
      <w:r w:rsidRPr="00D60FB8">
        <w:rPr>
          <w:rFonts w:ascii="宋体" w:eastAsia="宋体" w:hAnsi="宋体" w:cs="宋体"/>
          <w:color w:val="000000" w:themeColor="text1"/>
          <w:kern w:val="0"/>
          <w:sz w:val="24"/>
          <w:szCs w:val="24"/>
        </w:rPr>
        <w:t>仪商网</w:t>
      </w:r>
      <w:proofErr w:type="gramEnd"/>
      <w:r w:rsidRPr="00D60FB8">
        <w:rPr>
          <w:rFonts w:ascii="宋体" w:eastAsia="宋体" w:hAnsi="宋体" w:cs="宋体"/>
          <w:color w:val="000000" w:themeColor="text1"/>
          <w:kern w:val="0"/>
          <w:sz w:val="24"/>
          <w:szCs w:val="24"/>
        </w:rPr>
        <w:t>将持续关注政策动态，为行业提供最新资讯与深度解读，助力企业在政策引导下，不断提升技术水平、产品质量与市场竞争力，推动功率分析</w:t>
      </w:r>
      <w:proofErr w:type="gramStart"/>
      <w:r w:rsidRPr="00D60FB8">
        <w:rPr>
          <w:rFonts w:ascii="宋体" w:eastAsia="宋体" w:hAnsi="宋体" w:cs="宋体"/>
          <w:color w:val="000000" w:themeColor="text1"/>
          <w:kern w:val="0"/>
          <w:sz w:val="24"/>
          <w:szCs w:val="24"/>
        </w:rPr>
        <w:t>仪行业</w:t>
      </w:r>
      <w:proofErr w:type="gramEnd"/>
      <w:r w:rsidRPr="00D60FB8">
        <w:rPr>
          <w:rFonts w:ascii="宋体" w:eastAsia="宋体" w:hAnsi="宋体" w:cs="宋体"/>
          <w:color w:val="000000" w:themeColor="text1"/>
          <w:kern w:val="0"/>
          <w:sz w:val="24"/>
          <w:szCs w:val="24"/>
        </w:rPr>
        <w:t>迈向高质量发展新征程。</w:t>
      </w:r>
    </w:p>
    <w:sectPr w:rsidR="00D02623" w:rsidRPr="00D60F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A8"/>
    <w:rsid w:val="000763EE"/>
    <w:rsid w:val="001E2470"/>
    <w:rsid w:val="00255EF1"/>
    <w:rsid w:val="0031467B"/>
    <w:rsid w:val="003C2455"/>
    <w:rsid w:val="00484D36"/>
    <w:rsid w:val="00692EAA"/>
    <w:rsid w:val="00703FE1"/>
    <w:rsid w:val="00804B5B"/>
    <w:rsid w:val="008E5C5E"/>
    <w:rsid w:val="009066AF"/>
    <w:rsid w:val="00AD21A1"/>
    <w:rsid w:val="00BF72A8"/>
    <w:rsid w:val="00D02623"/>
    <w:rsid w:val="00D60FB8"/>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60FB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60FB8"/>
    <w:rPr>
      <w:rFonts w:ascii="宋体" w:eastAsia="宋体" w:hAnsi="宋体" w:cs="宋体"/>
      <w:b/>
      <w:bCs/>
      <w:kern w:val="36"/>
      <w:sz w:val="48"/>
      <w:szCs w:val="48"/>
    </w:rPr>
  </w:style>
  <w:style w:type="paragraph" w:styleId="a3">
    <w:name w:val="Normal (Web)"/>
    <w:basedOn w:val="a"/>
    <w:uiPriority w:val="99"/>
    <w:semiHidden/>
    <w:unhideWhenUsed/>
    <w:rsid w:val="00D60FB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60F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60FB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60FB8"/>
    <w:rPr>
      <w:rFonts w:ascii="宋体" w:eastAsia="宋体" w:hAnsi="宋体" w:cs="宋体"/>
      <w:b/>
      <w:bCs/>
      <w:kern w:val="36"/>
      <w:sz w:val="48"/>
      <w:szCs w:val="48"/>
    </w:rPr>
  </w:style>
  <w:style w:type="paragraph" w:styleId="a3">
    <w:name w:val="Normal (Web)"/>
    <w:basedOn w:val="a"/>
    <w:uiPriority w:val="99"/>
    <w:semiHidden/>
    <w:unhideWhenUsed/>
    <w:rsid w:val="00D60FB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60F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427146">
      <w:bodyDiv w:val="1"/>
      <w:marLeft w:val="0"/>
      <w:marRight w:val="0"/>
      <w:marTop w:val="0"/>
      <w:marBottom w:val="0"/>
      <w:divBdr>
        <w:top w:val="none" w:sz="0" w:space="0" w:color="auto"/>
        <w:left w:val="none" w:sz="0" w:space="0" w:color="auto"/>
        <w:bottom w:val="none" w:sz="0" w:space="0" w:color="auto"/>
        <w:right w:val="none" w:sz="0" w:space="0" w:color="auto"/>
      </w:divBdr>
      <w:divsChild>
        <w:div w:id="1112237644">
          <w:marLeft w:val="0"/>
          <w:marRight w:val="0"/>
          <w:marTop w:val="165"/>
          <w:marBottom w:val="0"/>
          <w:divBdr>
            <w:top w:val="none" w:sz="0" w:space="0" w:color="auto"/>
            <w:left w:val="none" w:sz="0" w:space="0" w:color="auto"/>
            <w:bottom w:val="none" w:sz="0" w:space="0" w:color="auto"/>
            <w:right w:val="none" w:sz="0" w:space="0" w:color="auto"/>
          </w:divBdr>
        </w:div>
        <w:div w:id="1451973953">
          <w:marLeft w:val="0"/>
          <w:marRight w:val="0"/>
          <w:marTop w:val="0"/>
          <w:marBottom w:val="0"/>
          <w:divBdr>
            <w:top w:val="none" w:sz="0" w:space="0" w:color="auto"/>
            <w:left w:val="none" w:sz="0" w:space="0" w:color="auto"/>
            <w:bottom w:val="none" w:sz="0" w:space="0" w:color="auto"/>
            <w:right w:val="none" w:sz="0" w:space="0" w:color="auto"/>
          </w:divBdr>
          <w:divsChild>
            <w:div w:id="903486922">
              <w:marLeft w:val="0"/>
              <w:marRight w:val="0"/>
              <w:marTop w:val="0"/>
              <w:marBottom w:val="0"/>
              <w:divBdr>
                <w:top w:val="none" w:sz="0" w:space="0" w:color="auto"/>
                <w:left w:val="none" w:sz="0" w:space="0" w:color="auto"/>
                <w:bottom w:val="none" w:sz="0" w:space="0" w:color="auto"/>
                <w:right w:val="none" w:sz="0" w:space="0" w:color="auto"/>
              </w:divBdr>
              <w:divsChild>
                <w:div w:id="1628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84188">
          <w:marLeft w:val="0"/>
          <w:marRight w:val="0"/>
          <w:marTop w:val="0"/>
          <w:marBottom w:val="0"/>
          <w:divBdr>
            <w:top w:val="none" w:sz="0" w:space="0" w:color="auto"/>
            <w:left w:val="none" w:sz="0" w:space="0" w:color="auto"/>
            <w:bottom w:val="none" w:sz="0" w:space="0" w:color="auto"/>
            <w:right w:val="none" w:sz="0" w:space="0" w:color="auto"/>
          </w:divBdr>
          <w:divsChild>
            <w:div w:id="8896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268</Words>
  <Characters>1534</Characters>
  <Application>Microsoft Office Word</Application>
  <DocSecurity>0</DocSecurity>
  <Lines>12</Lines>
  <Paragraphs>3</Paragraphs>
  <ScaleCrop>false</ScaleCrop>
  <Company>Organization</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2025-06-12T07:38:00Z</dcterms:created>
  <dcterms:modified xsi:type="dcterms:W3CDTF">2025-06-12T07:40:00Z</dcterms:modified>
</cp:coreProperties>
</file>