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1CC" w:rsidRPr="00A221CC" w:rsidRDefault="00A221CC" w:rsidP="00A221CC">
      <w:pPr>
        <w:widowControl/>
        <w:spacing w:line="360" w:lineRule="auto"/>
        <w:jc w:val="center"/>
        <w:outlineLvl w:val="0"/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</w:pPr>
      <w:proofErr w:type="gramStart"/>
      <w:r w:rsidRPr="00A221CC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以材强链</w:t>
      </w:r>
      <w:proofErr w:type="gramEnd"/>
      <w:r w:rsidRPr="00A221CC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，以智赋新：中国电子材料崛起进行时</w:t>
      </w:r>
    </w:p>
    <w:p w:rsidR="00A221CC" w:rsidRPr="00A221CC" w:rsidRDefault="00A221CC" w:rsidP="00A221CC">
      <w:pPr>
        <w:widowControl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221CC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来源：中国电子报、电子信息产业网</w:t>
      </w:r>
    </w:p>
    <w:p w:rsidR="00A221CC" w:rsidRPr="00A221CC" w:rsidRDefault="00A221CC" w:rsidP="00A221CC">
      <w:pPr>
        <w:widowControl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221CC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6E5EAB4C" wp14:editId="40DE73C0">
            <wp:extent cx="4698647" cy="3181350"/>
            <wp:effectExtent l="0" t="0" r="6985" b="0"/>
            <wp:docPr id="1" name="图片 1" descr="https://static.cena.com.cn/attach/image/20251209/176524932328529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cena.com.cn/attach/image/20251209/1765249323285297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421" cy="318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1CC" w:rsidRPr="00A221CC" w:rsidRDefault="00A221CC" w:rsidP="00A221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221CC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电子材料作为信息技术产业的基石，在“十四五”期间实现了从“支撑产业”到“驱动创新”的战略升级。随着数字经济与智能化浪潮席卷全球，高端电子材料的突破已成为衡量国家科技竞争力的关键标尺。展望“十五五”，电子材料领域将迈向更高质量的自立自强，为全球科技革命注入中国动能。</w:t>
      </w:r>
    </w:p>
    <w:p w:rsidR="00A221CC" w:rsidRPr="00A221CC" w:rsidRDefault="00A221CC" w:rsidP="00A221CC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221CC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从规模领先到能级跃升：夯实全球竞争力根基</w:t>
      </w:r>
    </w:p>
    <w:p w:rsidR="00A221CC" w:rsidRPr="00A221CC" w:rsidRDefault="00A221CC" w:rsidP="00A221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221CC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据中国电子材料行业协会统计，2020年中国电子材料行业营收为7150亿元，预计2025年将达到12850亿元，年均复合增长率为12.5%。磁性材料、覆铜板、电子铜箔、光纤及预制棒、太阳能硅片等材料的产能规模与产量已连续多年位居全球第一。这一增长主要得益于新能源汽车、光伏储能等绿色能源革命，工业物联网、</w:t>
      </w:r>
      <w:proofErr w:type="gramStart"/>
      <w:r w:rsidRPr="00A221CC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算力基础</w:t>
      </w:r>
      <w:proofErr w:type="gramEnd"/>
      <w:r w:rsidRPr="00A221CC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设施</w:t>
      </w:r>
      <w:proofErr w:type="gramStart"/>
      <w:r w:rsidRPr="00A221CC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等数智化</w:t>
      </w:r>
      <w:proofErr w:type="gramEnd"/>
      <w:r w:rsidRPr="00A221CC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转型，以及高端装备、消费电子创新三大核心领域的强劲拉动。</w:t>
      </w:r>
    </w:p>
    <w:p w:rsidR="00A221CC" w:rsidRPr="00A221CC" w:rsidRDefault="00A221CC" w:rsidP="00A221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221CC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与此同时，我国电子材料行业在产能与营收持续增长的同时，不断取得技术创新突破，产业链配套能力显著提升：上海新昇、西安奕斯伟等企业实现了12英寸硅片的大规模量产应用；生益科技成功推动国产高频高速覆铜板在5G基站、AI服务器等领域的应用；山东天岳、山西烁科、天科合达等国产厂商的碳化硅衬底材料出货量占全球比重超过50%；江丰电子的超高纯金属溅射靶材获得国际</w:t>
      </w:r>
      <w:r w:rsidRPr="00A221CC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lastRenderedPageBreak/>
        <w:t>一流芯片制造厂商认证，并在全球领先的5nm制程技术中实现批量应用；光远新材研发的5G用低介电超细电子级玻璃纤维生产技术填补了国内空白，达到国际先进水平；长飞光纤拥有自主知识产权的“支撑管结构”空芯光纤技术指标全球领先。</w:t>
      </w:r>
    </w:p>
    <w:p w:rsidR="00A221CC" w:rsidRPr="00A221CC" w:rsidRDefault="00A221CC" w:rsidP="00A221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221CC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随着技术突破，国内电子材料企业在全球产业链中的角色发生实质性转变，由分散的规模优势逐步转化为系统性的产业竞争力，为迈向高端奠定了坚实基础。</w:t>
      </w:r>
    </w:p>
    <w:p w:rsidR="00A221CC" w:rsidRPr="00A221CC" w:rsidRDefault="00A221CC" w:rsidP="00A221CC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221CC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政策体系赋能：支撑行业稳步发展</w:t>
      </w:r>
    </w:p>
    <w:p w:rsidR="00A221CC" w:rsidRPr="00A221CC" w:rsidRDefault="00A221CC" w:rsidP="00A221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221CC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“十四五”期间，国家与地方层面出台了一系列政策，精准聚焦产业薄弱环节，构建起多层次、全方位的支持体系。《中华人民共和国国民经济和社会发展第十四个五年规划和2035年远景目标纲要》明确提出，要攻关高端稀土功能材料、高纯稀有金属材料、高性能陶瓷、电子玻璃、高性能树脂和集成电路用光刻胶等电子高纯材料，为电子材料发展定下国家级战略基调。《“十四五”原材料工业发展规划》将宽禁带半导体及显示材料、集成电路关键材料列为重点发展方向。《重点新材料首批次应用示范指导目录》纳入多个电子材料品种，并通过首批次应用保险补偿机制，有效降低新材料初期应用的市场风险。</w:t>
      </w:r>
    </w:p>
    <w:p w:rsidR="00A221CC" w:rsidRPr="00A221CC" w:rsidRDefault="00A221CC" w:rsidP="00A221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221CC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“十四五”期间延续并优化了对集成电路产业的重大专项支持和税收优惠政策，极大拉动了对国产半导体材料的需求，为材料企业创造了宝贵的市场机会和产品验证通道。各省市也结合国家规划与本地产业基础，出台了相应的配套政策和实施方案。</w:t>
      </w:r>
    </w:p>
    <w:p w:rsidR="00A221CC" w:rsidRPr="00A221CC" w:rsidRDefault="00A221CC" w:rsidP="00A221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221CC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在标准与专利方面，“十四五”以来已发布电子材料相关国家标准50余项、行业标准70余项，申请专利超2500项。高水平、快速响应市场需求的标准与专利供给大幅增加，有效支撑了行业的稳步发展。</w:t>
      </w:r>
    </w:p>
    <w:p w:rsidR="00A221CC" w:rsidRPr="00A221CC" w:rsidRDefault="00A221CC" w:rsidP="00A221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221CC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“十四五”期间，我国构建了由创新型中小企业、专精特新中小企业、专精特新“小巨人”企业和制造业单项冠军企业组成的优质企业梯度培育体系。电子材料领域表现突出：五年来共培育制造业单项冠军企业40余家，包括南大光电、天津中环、湖北鼎龙、天津巴莫、烟台德邦等；专精特新“小巨人”企业300余家，如天科合达、江化微、九江德福、有研亿金、常州聚合、强力新材、飞凯材料等。这些优质企业是创新的主力军，平均研发投入强度高，近八成分布于重点产业链关键环节，成为强链稳链的重要支撑。</w:t>
      </w:r>
    </w:p>
    <w:p w:rsidR="00A221CC" w:rsidRPr="00A221CC" w:rsidRDefault="00A221CC" w:rsidP="00A221CC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221CC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突破与瓶颈并存：创新生态亟待系统性重塑</w:t>
      </w:r>
    </w:p>
    <w:p w:rsidR="00A221CC" w:rsidRPr="00A221CC" w:rsidRDefault="00A221CC" w:rsidP="00A221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221CC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“十四五”以来，在政策引领和市场驱动下，12英寸半导体硅材料、碳化硅衬底及外延材料、永磁材料、锂电池铜箔、CMP抛光材料、含氟电子特气、通用湿电子化学品等一批关键材料突破了国产化瓶颈。然而，产业链创新生态体系尚未有效构建，产业结构仍需优化。</w:t>
      </w:r>
    </w:p>
    <w:p w:rsidR="00A221CC" w:rsidRPr="00A221CC" w:rsidRDefault="00A221CC" w:rsidP="00A221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221CC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一方面，当前高端电子材料的研发仍以“单点突破”为主，上下游协同设计、联合创新尚未成为普遍模式；另一方面，行业面临结构性矛盾——中低端产品竞争激烈，高端产品供给不足。在集成电路用高端光刻胶及树脂、先进封装基板ABF膜、底部填充胶、2.5D/3D临时键合胶、高精度掩膜版用石英基板、超薄Invar材料、蓝光磷光OLED发光材料等领域，国内企业与国际先进水平差距明显，关键材料的核心原材料与装备自主配套能力亟待加强。</w:t>
      </w:r>
    </w:p>
    <w:p w:rsidR="00A221CC" w:rsidRPr="00A221CC" w:rsidRDefault="00A221CC" w:rsidP="00A221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221CC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此外，高端电子材料领域的核心专利和基础专利长期由美国、日本等国外企业掌握，国内企业自主研发难度极大。未来需着力突破专利与技术壁垒，协同开发满足先进工艺需求的高端电子材料产品，保障产业链供应链安全稳定，加快构建以创新引领、市场导向、协同发展、绿色生态为特征的现代产业体系。</w:t>
      </w:r>
    </w:p>
    <w:p w:rsidR="00A221CC" w:rsidRPr="00A221CC" w:rsidRDefault="00A221CC" w:rsidP="00A221CC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221CC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“十五五”开新局：迈向高质量发展新阶段</w:t>
      </w:r>
    </w:p>
    <w:p w:rsidR="00A221CC" w:rsidRPr="00A221CC" w:rsidRDefault="00A221CC" w:rsidP="00A221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221CC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“十五五”时期是我国社会主义现代化夯实基础、全面发力的关键阶段，也是新型工业化深入实施、攻坚克难的重要窗口期。电子材料产业将进入高质量发展新阶段，机遇前所未有，挑战更加严峻，产业格局将呈现诸多新变化。</w:t>
      </w:r>
    </w:p>
    <w:p w:rsidR="00A221CC" w:rsidRPr="00A221CC" w:rsidRDefault="00A221CC" w:rsidP="00A221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221CC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从机遇看，“十五五”期间，全球电子信息制造业将进入新一轮创新活跃期，人工智能、虚拟现实、元宇宙、量子信息等新兴领域将成为引领电子材料创新的重要阵地。我国电子信息制造业历经多年发展，产业地位持续巩固，赋能千行百业的速度、深度和广度不断提升。“十五五”时期，庞大的市场规模优势将进一步释放。</w:t>
      </w:r>
    </w:p>
    <w:p w:rsidR="00A221CC" w:rsidRPr="00A221CC" w:rsidRDefault="00A221CC" w:rsidP="00A221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221CC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从挑战看，国际环境日趋复杂，全球科技与产业竞争更趋激烈，大国战略博弈进一步聚焦制造业，产业链供应链格局加速重构，拓展优势市场难度显著增加。“逆全球化”思潮及各国推动制造业回流所采取的非常规手段，可能导致电子材料供需信息再度紊乱，局部“断供”与全球重复投资引发的产能过剩或将并存。</w:t>
      </w:r>
    </w:p>
    <w:p w:rsidR="00A221CC" w:rsidRPr="00A221CC" w:rsidRDefault="00A221CC" w:rsidP="00A221C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221CC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面向“十五五”，当务之急是将创新的“点”连成“链”，构建一个上下游紧密协同、风险共担、利益共享的产业生态，实现从点的突破到系统能力的全面提升。在人工智能飞速发展的今天，我国电子材料产业应更加注重智能化制造，重塑产业生态，将人工智能与数字孪生技术深度融入材料研发、工艺优化、产线管理全流程，推动产业集群向“智慧供应链”升级，增强产业韧性，力争在“十五五”期间跻身全球电子材料创新第一梯队，成为智能世界更坚实的基石</w:t>
      </w:r>
      <w:r w:rsidR="00FC3746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。</w:t>
      </w:r>
      <w:bookmarkStart w:id="0" w:name="_GoBack"/>
      <w:bookmarkEnd w:id="0"/>
    </w:p>
    <w:p w:rsidR="00D02623" w:rsidRPr="00A221CC" w:rsidRDefault="00A221CC" w:rsidP="00A221CC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A221CC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作者：中国电子材料行业协会常务副秘书长 鲁瑾</w:t>
      </w:r>
    </w:p>
    <w:sectPr w:rsidR="00D02623" w:rsidRPr="00A221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2D2"/>
    <w:rsid w:val="000763EE"/>
    <w:rsid w:val="001E2470"/>
    <w:rsid w:val="00255EF1"/>
    <w:rsid w:val="0031467B"/>
    <w:rsid w:val="003C2455"/>
    <w:rsid w:val="00484D36"/>
    <w:rsid w:val="004D42D2"/>
    <w:rsid w:val="00692EAA"/>
    <w:rsid w:val="00703FE1"/>
    <w:rsid w:val="00804B5B"/>
    <w:rsid w:val="008E5C5E"/>
    <w:rsid w:val="009066AF"/>
    <w:rsid w:val="00A221CC"/>
    <w:rsid w:val="00AD21A1"/>
    <w:rsid w:val="00D02623"/>
    <w:rsid w:val="00E02350"/>
    <w:rsid w:val="00FC3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A221CC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221CC"/>
    <w:rPr>
      <w:rFonts w:ascii="宋体" w:eastAsia="宋体" w:hAnsi="宋体" w:cs="宋体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A221C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221C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A221CC"/>
    <w:rPr>
      <w:b/>
      <w:bCs/>
    </w:rPr>
  </w:style>
  <w:style w:type="paragraph" w:styleId="a6">
    <w:name w:val="Balloon Text"/>
    <w:basedOn w:val="a"/>
    <w:link w:val="Char"/>
    <w:uiPriority w:val="99"/>
    <w:semiHidden/>
    <w:unhideWhenUsed/>
    <w:rsid w:val="00A221CC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A221C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A221CC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221CC"/>
    <w:rPr>
      <w:rFonts w:ascii="宋体" w:eastAsia="宋体" w:hAnsi="宋体" w:cs="宋体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A221C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221C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A221CC"/>
    <w:rPr>
      <w:b/>
      <w:bCs/>
    </w:rPr>
  </w:style>
  <w:style w:type="paragraph" w:styleId="a6">
    <w:name w:val="Balloon Text"/>
    <w:basedOn w:val="a"/>
    <w:link w:val="Char"/>
    <w:uiPriority w:val="99"/>
    <w:semiHidden/>
    <w:unhideWhenUsed/>
    <w:rsid w:val="00A221CC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A221C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66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1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385</Words>
  <Characters>2196</Characters>
  <Application>Microsoft Office Word</Application>
  <DocSecurity>0</DocSecurity>
  <Lines>18</Lines>
  <Paragraphs>5</Paragraphs>
  <ScaleCrop>false</ScaleCrop>
  <Company>Organization</Company>
  <LinksUpToDate>false</LinksUpToDate>
  <CharactersWithSpaces>2576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</cp:revision>
  <dcterms:created xsi:type="dcterms:W3CDTF">2025-12-10T10:43:00Z</dcterms:created>
  <dcterms:modified xsi:type="dcterms:W3CDTF">2025-12-10T10:47:00Z</dcterms:modified>
</cp:coreProperties>
</file>