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A7" w:rsidRPr="00696DA7" w:rsidRDefault="00696DA7" w:rsidP="00696DA7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b/>
          <w:color w:val="000000" w:themeColor="text1"/>
          <w:sz w:val="28"/>
          <w:szCs w:val="28"/>
        </w:rPr>
        <w:t>工信部</w:t>
      </w:r>
      <w:r w:rsidRPr="00696DA7">
        <w:rPr>
          <w:rFonts w:ascii="黑体" w:eastAsia="黑体" w:hAnsi="黑体" w:hint="eastAsia"/>
          <w:b/>
          <w:color w:val="000000" w:themeColor="text1"/>
          <w:sz w:val="28"/>
          <w:szCs w:val="28"/>
        </w:rPr>
        <w:t>部署上百项“揭榜挂帅”攻关任务  更大力度超前布局未来产业</w:t>
      </w:r>
      <w:bookmarkStart w:id="0" w:name="_GoBack"/>
      <w:bookmarkEnd w:id="0"/>
    </w:p>
    <w:p w:rsidR="008B1383" w:rsidRPr="00696DA7" w:rsidRDefault="00696DA7" w:rsidP="00696DA7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 w:hint="eastAsia"/>
          <w:color w:val="000000" w:themeColor="text1"/>
          <w:sz w:val="24"/>
          <w:szCs w:val="24"/>
        </w:rPr>
        <w:t>来源：经济日报</w:t>
      </w:r>
    </w:p>
    <w:p w:rsidR="008B1383" w:rsidRPr="00696DA7" w:rsidRDefault="00696DA7" w:rsidP="00696DA7">
      <w:pPr>
        <w:pStyle w:val="1"/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B399C8F" wp14:editId="1C3809D2">
            <wp:extent cx="4772025" cy="561022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773352" cy="56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383" w:rsidRPr="00696DA7" w:rsidRDefault="008B1383" w:rsidP="00696DA7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8B1383" w:rsidRPr="00696DA7" w:rsidRDefault="00696DA7" w:rsidP="00696DA7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hyperlink r:id="rId6" w:history="1">
        <w:r w:rsidRPr="00696DA7">
          <w:rPr>
            <w:rStyle w:val="a3"/>
            <w:rFonts w:ascii="宋体" w:eastAsia="宋体" w:hAnsi="宋体"/>
            <w:color w:val="000000" w:themeColor="text1"/>
            <w:spacing w:val="9"/>
            <w:sz w:val="24"/>
            <w:szCs w:val="24"/>
          </w:rPr>
          <w:t>工业和信息化部日前召开未来产业企业座谈会</w:t>
        </w:r>
      </w:hyperlink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，提出强化顶层规划引领，健全技术预见机制，有序推进未来产业先导区建设。加大未来产业科技供给，系统布局原创性、引领性技术攻关，强化场景牵引，提升产业链协同创新能力。充分发挥企业主体作用，完善差异</w:t>
      </w:r>
      <w:proofErr w:type="gramStart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化支持</w:t>
      </w:r>
      <w:proofErr w:type="gramEnd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政策，鼓励更多企业依托自身优势深耕细作。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今天的未来产业，就是明天的新兴产业，乃至支柱性产业。国家数据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lastRenderedPageBreak/>
        <w:t>发展研究院副院长袁军认为，未来产业是布局可预见的未来，之后可替代今天正在发展的新兴产业的产业。在未来，这些产业能引领国民经济、产业体系发展，为消费者提供高质量高品质的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产品与服务，同时成为维持或争取其在全球高科技产业领先地位的关键。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2024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年，工业和信息化部等七部门发布</w:t>
      </w:r>
      <w:hyperlink r:id="rId7" w:history="1">
        <w:r w:rsidRPr="00696DA7">
          <w:rPr>
            <w:rStyle w:val="a3"/>
            <w:rFonts w:ascii="宋体" w:eastAsia="宋体" w:hAnsi="宋体"/>
            <w:color w:val="000000" w:themeColor="text1"/>
            <w:spacing w:val="9"/>
            <w:sz w:val="24"/>
            <w:szCs w:val="24"/>
          </w:rPr>
          <w:t>《关于推动未来产业创新发展的实施意见》</w:t>
        </w:r>
      </w:hyperlink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，提出到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2027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年，未来产业综合实力显著提升，部分领域实现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全球引领。关键核心技术取得重大突破，一批新技术、新产品、新业态、新模式得到普遍应用，重点产业实现规模化发展，培育一批生态主导型领军企业，构建未来产业和优势产业、新兴产业、传统产业协同联动的发展格局，形成可持续发展的长效机制，成为世界未来产业重要策源地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当前，我国未来产业发展呈现产业规模持续扩大、技术创新多点突破、协同布局逐步构建、应用创新持续拓展的良好势头。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工业和信息化部副部长张云明介绍，工信部依托国家科技重大项目等加大未来产业支持力度。围绕量子科技、清洁低碳氢等重点赛道，已累计部署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100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多项未来产业创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新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揭榜挂帅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攻关任务；系统布局一批未来产业重点领域制造业创新中心、中试平台等，推动实验室里的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好点子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源源不断转化成生产线上的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好产品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；企业活力不断释放，培育高新技术企业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50.9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万家，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193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个创新型产业集群集聚各</w:t>
      </w:r>
      <w:proofErr w:type="gramStart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类创新</w:t>
      </w:r>
      <w:proofErr w:type="gramEnd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企业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5.4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万家。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新一轮科技革命和产业变革加速演进，我国未来产业发展在原始创新能力、关键核心技术、顶尖人才数量、体制机制保障等方面仍存在一些短板弱项。要准确把握未来产业发展形势，抢抓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十五五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关键期，加快</w:t>
      </w:r>
      <w:proofErr w:type="gramStart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锻</w:t>
      </w:r>
      <w:proofErr w:type="gramEnd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长板、补短板、强弱项，以更大力度超前布局未来产业，抢占未来发展制高点。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张云明表示，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推动未来产业从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实验室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走向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大市场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，关键是坚持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产业出题、科技答题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，打通技术创新与市场需求之间的堵点、卡点。在技术供给上，锚</w:t>
      </w:r>
      <w:proofErr w:type="gramStart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定产业</w:t>
      </w:r>
      <w:proofErr w:type="gramEnd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发展实际需求部署攻关任务，强化基础研究与应用研究协同推进。推动制造业创新中心、中试平台等载体建设，促进原创技术加快走向中试、走向规模化生产。在政策保障上，统筹推进普适性政策与细分赛道政策制定，围绕发展共性需求出台普适性政策，针对各细分赛道出台专项支持政策，加快新领域新赛道高质量发展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对于建设国家级未来产业先导区，袁军建议，围绕一个目标、两个创新，构建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四梁八柱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。一个目标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，即建设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创新突破、引领发展、特色鲜明、国际先进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的国家未来产业先导区；两个创新，即搭建原始性创新平台，健全数据等新要素确权、流通、交易制度，完善容错机制。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构建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四梁八柱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要从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软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硬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两方面入手。在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硬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的方面，先导区作为原始性创新平台策源地，承载产业加速器（中心）赋能功能，承载特色园区，形成应用场景引领的示范效应。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在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软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的方面，先导区可通过诸多机制实现对产业建设的扶持。先导区可建立新型要素驱动机制，如创新未来产业数据应用新机制，开展数据交易商业模式应用创新试点，推动公共数据、行业数据、科研数据在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先导区内共享；尝试监管体制多元探索与创新，构建有利于未来产业多元探索的包容审慎监管机制，及时感知未来产业创新主体的制度需求、产业跨界政策需求。</w:t>
      </w:r>
    </w:p>
    <w:p w:rsidR="008B1383" w:rsidRPr="00696DA7" w:rsidRDefault="00696DA7" w:rsidP="00696DA7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据了解，工信部将优化产业发展生态，建立健全未来产业培育政策体系，持续提升未来产业创新发展、金融支持、人才培育等方面政策效能。统筹发展和安全，稳</w:t>
      </w:r>
      <w:proofErr w:type="gramStart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慎探索</w:t>
      </w:r>
      <w:proofErr w:type="gramEnd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适应未来产业特征的监管方式，</w:t>
      </w:r>
      <w:proofErr w:type="gramStart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确保既</w:t>
      </w:r>
      <w:proofErr w:type="gramEnd"/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放得活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又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“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管得好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96DA7">
        <w:rPr>
          <w:rFonts w:ascii="宋体" w:eastAsia="宋体" w:hAnsi="宋体"/>
          <w:color w:val="000000" w:themeColor="text1"/>
          <w:spacing w:val="9"/>
          <w:sz w:val="24"/>
          <w:szCs w:val="24"/>
        </w:rPr>
        <w:t>。</w:t>
      </w:r>
    </w:p>
    <w:sectPr w:rsidR="008B1383" w:rsidRPr="00696DA7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1383"/>
    <w:rsid w:val="00696DA7"/>
    <w:rsid w:val="008B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96DA7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96D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p.weixin.qq.com/s?__biz=MjM5OTUwMTc2OA==&amp;mid=2650903280&amp;idx=1&amp;sn=b6edd0ce1c41aac431cd9f9a52eef8be&amp;scene=21#wechat_redirec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p.weixin.qq.com/s?__biz=MjM5OTUwMTc2OA==&amp;mid=2650950214&amp;idx=1&amp;sn=8256c3d67d4ebde253156fb120e38141&amp;scene=21#wechat_redirect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284</Words>
  <Characters>1625</Characters>
  <Application>Microsoft Office Word</Application>
  <DocSecurity>0</DocSecurity>
  <Lines>13</Lines>
  <Paragraphs>3</Paragraphs>
  <ScaleCrop>false</ScaleCrop>
  <Company>Organization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2026-05-06T17:42:00Z</dcterms:created>
  <dcterms:modified xsi:type="dcterms:W3CDTF">2026-05-07T00:04:00Z</dcterms:modified>
</cp:coreProperties>
</file>