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2025年度信息通信十大科技进展发布，利好哪些仪器？</w:t>
      </w:r>
    </w:p>
    <w:p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来源： </w:t>
      </w:r>
      <w:r>
        <w:rPr>
          <w:rStyle w:val="15"/>
          <w:color w:val="000000"/>
          <w:sz w:val="24"/>
          <w:szCs w:val="24"/>
          <w:u w:val="none"/>
        </w:rPr>
        <w:fldChar w:fldCharType="begin"/>
      </w:r>
      <w:r>
        <w:instrText>HYPERLINK "javascript:void(0); normalLink"</w:instrText>
      </w:r>
      <w:r>
        <w:rPr>
          <w:rStyle w:val="15"/>
          <w:color w:val="000000"/>
          <w:sz w:val="24"/>
          <w:szCs w:val="24"/>
          <w:u w:val="none"/>
        </w:rPr>
        <w:fldChar w:fldCharType="separate"/>
      </w:r>
      <w:r>
        <w:rPr>
          <w:rStyle w:val="15"/>
          <w:color w:val="000000"/>
          <w:sz w:val="24"/>
          <w:szCs w:val="24"/>
          <w:u w:val="none"/>
        </w:rPr>
        <w:t>onetest仪器资源库</w:t>
      </w:r>
      <w:r>
        <w:rPr>
          <w:rStyle w:val="15"/>
          <w:color w:val="000000"/>
          <w:sz w:val="24"/>
          <w:szCs w:val="24"/>
          <w:u w:val="none"/>
        </w:rPr>
        <w:fldChar w:fldCharType="end"/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2026年5月17日，中国通信学会 2026 信息通信技术创新与前瞻学术会议正式开幕，备受行业关注的</w:t>
      </w:r>
      <w:r>
        <w:rPr>
          <w:b/>
          <w:color w:val="000000"/>
          <w:sz w:val="24"/>
          <w:szCs w:val="24"/>
        </w:rPr>
        <w:t>2025 年度信息通信领域十大科技进展</w:t>
      </w:r>
      <w:r>
        <w:rPr>
          <w:color w:val="000000"/>
          <w:sz w:val="24"/>
          <w:szCs w:val="24"/>
        </w:rPr>
        <w:t>现场重磅揭晓。从6G信道建模、太赫兹芯片，到卫星互联网、工业无线网络，再到自主GPMI接口、空天地海智传网……每一项突破的背后，都离不开高端仪器的“保驾护航”。这十大进展，究竟利好哪些仪器？</w:t>
      </w: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进展一：6G跨介质普适信道建模与信道地图构建方法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探明了6G复杂高动态与通感融合场景多径信号传播机理，构建了6G跨介质普适映射理论与几何随机信道模型，自主研发信道仿真软件，提出了多维高精度信道地图构建方法并使能6G新型接入方案，为6G系统设计、标准化和多个国家重大工程提供基础支撑。该成果由中国通信学会物联网专业委员会推荐，王承祥研究团队完成。</w:t>
      </w:r>
      <w:bookmarkStart w:id="0" w:name="_GoBack"/>
      <w:bookmarkEnd w:id="0"/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 利好哪些仪器？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无线信道仿真仪</w:t>
      </w:r>
      <w:r>
        <w:rPr>
          <w:color w:val="000000"/>
          <w:spacing w:val="0"/>
          <w:sz w:val="24"/>
          <w:szCs w:val="24"/>
          <w:shd w:val="clear" w:color="auto" w:fill="FFFFFF"/>
        </w:rPr>
        <w:t>：用于模拟6G复杂环境下的多径衰落、高动态及通感融合信道。</w:t>
      </w:r>
    </w:p>
    <w:p>
      <w:pPr>
        <w:spacing w:before="9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矢量信号发生器 + 频谱/信号分析仪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：生成和解析6G候选波形，验证新型接入方案。</w:t>
      </w:r>
    </w:p>
    <w:p>
      <w:pPr>
        <w:spacing w:before="9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MIMO OTA测试平台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：支撑大规模天线阵列与波束赋形的空口性能评估。</w:t>
      </w:r>
    </w:p>
    <w:p>
      <w:pPr>
        <w:spacing w:before="9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信道探测仪</w:t>
      </w:r>
      <w:r>
        <w:rPr>
          <w:color w:val="000000"/>
          <w:spacing w:val="0"/>
          <w:sz w:val="24"/>
          <w:szCs w:val="24"/>
          <w:shd w:val="clear" w:color="auto" w:fill="FFFFFF"/>
        </w:rPr>
        <w:t>：为信道地图构建提供实测数据标定。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坤恒顺维、思仪科技、是德科技、罗德与施瓦茨、创远信科、星河亮点、NI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141019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进展二：面向超高速通信的太赫兹基波器件与集成芯片关键技术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聚焦太赫兹“卡脖子”难题，提出了基于共振隧穿二极管（RTD）的高频高功率太赫兹基波器件，国内外首创太赫兹电频梳信号源芯片，突破了超低相噪信号生成技术，验证了基波无线通信系统的性能优势，为超高速太赫兹无线通信系统提供了重要技术支撑。该成果由中国通信学会短距无线通信专业委员会推荐，陶小峰研究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太赫兹矢量网络分析仪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：精确表征RTD器件及芯片的S参数与散射特性。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太赫兹频谱分析仪 / 信号分析仪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：测量超高频信号的频谱纯度和相位噪声。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晶圆级太赫兹探针台</w:t>
      </w:r>
      <w:r>
        <w:rPr>
          <w:color w:val="000000"/>
          <w:spacing w:val="0"/>
          <w:sz w:val="24"/>
          <w:szCs w:val="24"/>
          <w:shd w:val="clear" w:color="auto" w:fill="FFFFFF"/>
        </w:rPr>
        <w:t>：实现在片测试，加速芯片迭代。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半导体参数分析仪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：评估RTD器件的直流与高频特性。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太赫兹扩频模块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利好频率扩展模块和探针台厂家：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泰莱微波、鳌太电子、汇成智仪、德普福、伏波电子、诺之杰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120F12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进展三：智能开放的网络化协作通感关键技术研究与验证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攻关城市环境复杂、通感性能难保障的核心挑战，突破通感统一融合理论，构建“以网强感、以智提精”协作通感技术体系，打造融合开放验证平台并推动生态开放与商用试点，成功构筑我国6G通感网络核心能力，为6G标准化、产业化发展开创了新范式。该成果由张平院士、王晓云院士和王江舟院士联合推荐，黄宇红研究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 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雷达目标模拟器</w:t>
      </w:r>
      <w:r>
        <w:rPr>
          <w:color w:val="000000"/>
          <w:spacing w:val="0"/>
          <w:sz w:val="24"/>
          <w:szCs w:val="24"/>
          <w:shd w:val="clear" w:color="auto" w:fill="FFFFFF"/>
        </w:rPr>
        <w:t>：模拟无人机、车辆等多动态目标，验证通感一体化性能。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一体化通感测试平台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：同时生成通信波形与感知回波，评估“以网强感”能力。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多通道相参信号采集系统</w:t>
      </w:r>
      <w:r>
        <w:rPr>
          <w:color w:val="000000"/>
          <w:spacing w:val="0"/>
          <w:sz w:val="24"/>
          <w:szCs w:val="24"/>
          <w:shd w:val="clear" w:color="auto" w:fill="FFFFFF"/>
        </w:rPr>
        <w:t>：分析协作通感中的多节点信号融合特性。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实时频谱分析仪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：捕捉城市环境中的动态干扰与频谱占用。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坤恒顺维、思仪科技、海得逻捷、是德科技、罗德与施瓦茨、华清瑞达、NI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0E1019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进展四、面向工业智能体的专用无线网络理论与技术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针对静态网络与工业智能体通信变时空特性内生矛盾，揭示了变时空无线网络覆盖机理，构建了异构多智能体可靠传输理论，提出了变时空任务驱动的敏捷调控方法。研究为工业智能体的专用无线网络建设提供了理论支撑。该成果由北京科技大学推荐，张海君研究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工业级5G/6G协议分析仪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：解析工业智能体之间的低时延、高可靠通信行为。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便携式实时频谱分析仪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：在现场环境中快速定位干扰源。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多节点无线网络测试仪</w:t>
      </w:r>
      <w:r>
        <w:rPr>
          <w:color w:val="000000"/>
          <w:spacing w:val="0"/>
          <w:sz w:val="24"/>
          <w:szCs w:val="24"/>
          <w:shd w:val="clear" w:color="auto" w:fill="FFFFFF"/>
        </w:rPr>
        <w:t>：模拟异构智能体的变时空拓扑，验证敏捷调控算法。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无线传感器网络测试套件</w:t>
      </w:r>
      <w:r>
        <w:rPr>
          <w:color w:val="000000"/>
          <w:spacing w:val="0"/>
          <w:sz w:val="24"/>
          <w:szCs w:val="24"/>
          <w:shd w:val="clear" w:color="auto" w:fill="FFFFFF"/>
        </w:rPr>
        <w:t>：评估覆盖机理与传输可靠性。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信而泰、触点互动、思仪科技、海得逻捷、白鹭电子、坤恒顺维、VIAVI、EXFO、NetAlly、罗德与施瓦茨、是德科技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111614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进展五：基于通用多媒体接口（GPMI）的“一线通联”融合创新技术与生态构建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开创了我国通用多媒体接口GPMI技术体系，通过“一线通联”实现视频、数据、控制、供电一体化传输，具备192Gbps高带宽、480W大供电、双向组网及菊花链互联等优势，实现了接口领域自主创新。这一突破填补了国内长期空白，在全球树立了“中国方案”新标杆。该成果由中国通信学会网络和数据安全专业委员会推荐，范科峰研究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 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GPMI信号发生器 / 码型发生器</w:t>
      </w:r>
      <w:r>
        <w:rPr>
          <w:color w:val="000000"/>
          <w:spacing w:val="0"/>
          <w:sz w:val="24"/>
          <w:szCs w:val="24"/>
          <w:shd w:val="clear" w:color="auto" w:fill="FFFFFF"/>
        </w:rPr>
        <w:t>：产生192Gbps高速信号，用于接收端压力测试。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高速实时示波器</w:t>
      </w:r>
      <w:r>
        <w:rPr>
          <w:color w:val="000000"/>
          <w:spacing w:val="0"/>
          <w:sz w:val="24"/>
          <w:szCs w:val="24"/>
          <w:shd w:val="clear" w:color="auto" w:fill="FFFFFF"/>
        </w:rPr>
        <w:t>：眼图、抖动、时序分析，保障信号完整性。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误码率分析仪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：验证高速数据传输可靠性，优化接口设计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协议分析仪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：解析GPMI双向数据、控制命令及供电协商协议。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功率分析仪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：验证480W大供电下的电压稳定性与保护机制。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中星联华、万里眼、联讯仪器、是德科技、安立、泰克、力科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0E1112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进展六：大规模卫星高容量组网及能力评估技术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发现了卫星网络星座拓扑构型扭曲特征及干扰演进规律，发明了新型高容量莫比乌斯星座拓扑结构、制定了大规模干扰协调规则及网络评测基准体系，建立了超万星规模的实时运维系统，提出了大规模卫星网络高容量组网方法，对促进我国卫星互联网建设具有重要价值。该成果由中国通信学会物联网专业委员会推荐，盛敏教授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 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卫星信道模拟器</w:t>
      </w:r>
      <w:r>
        <w:rPr>
          <w:color w:val="000000"/>
          <w:spacing w:val="0"/>
          <w:sz w:val="24"/>
          <w:szCs w:val="24"/>
          <w:shd w:val="clear" w:color="auto" w:fill="FFFFFF"/>
        </w:rPr>
        <w:t>：模拟星地/星间链路的高动态、长时延、大多普勒特性。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多通道矢量信号源 + 信号分析仪</w:t>
      </w:r>
      <w:r>
        <w:rPr>
          <w:color w:val="000000"/>
          <w:spacing w:val="0"/>
          <w:sz w:val="24"/>
          <w:szCs w:val="24"/>
          <w:shd w:val="clear" w:color="auto" w:fill="FFFFFF"/>
        </w:rPr>
        <w:t>：验证大规模干扰协调算法。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星座运维仿真测试系统</w:t>
      </w:r>
      <w:r>
        <w:rPr>
          <w:color w:val="000000"/>
          <w:spacing w:val="0"/>
          <w:sz w:val="24"/>
          <w:szCs w:val="24"/>
          <w:shd w:val="clear" w:color="auto" w:fill="FFFFFF"/>
        </w:rPr>
        <w:t>：支撑超万星规模的实时运维系统验证。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高精度时间同步测试仪</w:t>
      </w:r>
      <w:r>
        <w:rPr>
          <w:b/>
          <w:color w:val="000000"/>
          <w:spacing w:val="0"/>
          <w:sz w:val="24"/>
          <w:szCs w:val="24"/>
          <w:shd w:val="clear" w:color="auto" w:fill="FFFFFF"/>
        </w:rPr>
        <w:t>：保障卫星网络时空基准一致性，支撑网络评测基准体系。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坤恒顺维、思仪科技、创远信科、触点互动、同步天下、思博伦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141011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进展七、空天地海全域视联的智传网技术与应用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该成果面向空天地海全域视联国家战略需求，布局智传网（AI Flow）新型人工智能基础设施，提出了”以计算换带宽”的生成式智能传输新范式，突破了任务导向语义压缩表征、稳健链路传输、强一致视频生成重建与端边云协同部署等关键技术，将传输带宽降至传统方案的1%—5%，为远洋监管、应急救援等国家战略场景提供了核心技术支撑。该成果由中国电信集团有限公司推荐，李学龙教授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AI算力服务器与仿真平台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：支撑生成式智能传输模型的训练与推理效率评估。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传输性能测试仪：验证 "以计算换带宽" 生成式传输新范式，评估带宽降低至 1%-5% 的效果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网络损伤仪</w:t>
      </w:r>
      <w:r>
        <w:rPr>
          <w:color w:val="000000"/>
          <w:spacing w:val="0"/>
          <w:sz w:val="24"/>
          <w:szCs w:val="24"/>
          <w:shd w:val="clear" w:color="auto" w:fill="FFFFFF"/>
        </w:rPr>
        <w:t>：模拟极低带宽、高误码率链路，测试语义压缩和稳健传输能力。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边缘云协同测试平台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：评估端边云协同部署的时延与资源开销。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触点互动、信而泰、海回科技、EXFO、VIAVI、思博伦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130E11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进展八：通信与多模态感知联觉机理和智能融合关键技术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该成果受人类联觉启发，提出了“机器联觉（Synesthesia of Machines, SoM）”新理论和新架构，开辟了面向通用任务的AI原生多模态通感智能融合新范式。构建了多模态通感数据时空一致采集平台，挖掘了全电磁频谱通感联觉机理，提出了跨任务通用和零样本强泛化的无线基座模型，为6G网联具身智能发展提供数据、理论和模型基础。该成果由中国通信学会云原生网络专业委员会推荐，北京大学程翔研究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多模态数据采集平台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：集成软件无线电、激光雷达、RGB-D相机、毫米波雷达等。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软件无线电设备</w:t>
      </w:r>
      <w:r>
        <w:rPr>
          <w:color w:val="000000"/>
          <w:spacing w:val="0"/>
          <w:sz w:val="24"/>
          <w:szCs w:val="24"/>
          <w:shd w:val="clear" w:color="auto" w:fill="FFFFFF"/>
        </w:rPr>
        <w:t>：灵活采集全电磁频谱通感数据。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高精度时空同步设备</w:t>
      </w:r>
      <w:r>
        <w:rPr>
          <w:color w:val="000000"/>
          <w:spacing w:val="0"/>
          <w:sz w:val="24"/>
          <w:szCs w:val="24"/>
          <w:shd w:val="clear" w:color="auto" w:fill="FFFFFF"/>
        </w:rPr>
        <w:t>：保证多传感器数据的时空一致性。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AI模型硬件加速验证平台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：用于无线基座模型的端侧推理测试。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利好软件无线电平台厂家：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彬鸿电子、珞光、威视锐、NI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0D1019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进展九 网络空间测绘技术和平台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对标传统地理测绘科学研究了网络空间测绘技术体系，提出了网络空间本源坐标系、地图模型和网络空间测绘体系结构并牵头联合27个国家和地区合作机构建成全球测绘平台，为建立网络空间时空基准和全景地图提供重要支撑。该成果由清华大学推荐，王继龙研究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高性能网络扫描引擎</w:t>
      </w:r>
      <w:r>
        <w:rPr>
          <w:color w:val="000000"/>
          <w:spacing w:val="0"/>
          <w:sz w:val="24"/>
          <w:szCs w:val="24"/>
          <w:shd w:val="clear" w:color="auto" w:fill="FFFFFF"/>
        </w:rPr>
        <w:t>：支持大规模IPv4/IPv6地址空间的快速探测。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骨干网流量采集与分析设备</w:t>
      </w:r>
      <w:r>
        <w:rPr>
          <w:color w:val="000000"/>
          <w:spacing w:val="0"/>
          <w:sz w:val="24"/>
          <w:szCs w:val="24"/>
          <w:shd w:val="clear" w:color="auto" w:fill="FFFFFF"/>
        </w:rPr>
        <w:t>：用于构建网络空间动态地图。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分布式探针节点</w:t>
      </w:r>
      <w:r>
        <w:rPr>
          <w:color w:val="000000"/>
          <w:spacing w:val="0"/>
          <w:sz w:val="24"/>
          <w:szCs w:val="24"/>
          <w:shd w:val="clear" w:color="auto" w:fill="FFFFFF"/>
        </w:rPr>
        <w:t>：部署于全球合作机构，实现跨地域测绘数据同步。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数据中心级服务器与存储系统</w:t>
      </w:r>
      <w:r>
        <w:rPr>
          <w:color w:val="000000"/>
          <w:spacing w:val="0"/>
          <w:sz w:val="24"/>
          <w:szCs w:val="24"/>
          <w:shd w:val="clear" w:color="auto" w:fill="FFFFFF"/>
        </w:rPr>
        <w:t>：支撑全球测绘平台的海量数据处理。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海回科技、万里眼、触点互动、是德科技、VIAVI、EXFO、罗德与施瓦茨</w:t>
      </w:r>
      <w:r>
        <w:rPr>
          <w:color w:val="000000"/>
          <w:sz w:val="24"/>
          <w:szCs w:val="24"/>
        </w:rPr>
        <w:t>等</w:t>
      </w:r>
    </w:p>
    <w:p>
      <w:pPr>
        <w:pBdr>
          <w:bottom w:val="single" w:sz="4" w:space="1" w:color="101512"/>
        </w:pBdr>
        <w:spacing w:line="360" w:lineRule="auto"/>
        <w:jc w:val="both"/>
        <w:rPr>
          <w:color w:val="000000"/>
          <w:sz w:val="24"/>
          <w:szCs w:val="24"/>
        </w:rPr>
      </w:pP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进展十 固移融合、算网协同的BNC宽带网络技术创新与应用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该成果依托会话分流、端网算协同及固移转译等技术创新，搭建起安全、灵活、智能、高效的宽带核心网架构体系，实现宽带网络固移融合与算网深度联动，显著优化业务体验，服务宽带用户超百万，为我国万兆宽带网络升级和数字经济高质量发展提供核心技术支撑。该成果由中国联合网络通信集团有限公司推荐，唐雄燕团队完成。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利好哪些仪器？</w:t>
      </w:r>
    </w:p>
    <w:p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400G/800G高速网络测试仪</w:t>
      </w:r>
      <w:r>
        <w:rPr>
          <w:color w:val="000000"/>
          <w:spacing w:val="0"/>
          <w:sz w:val="24"/>
          <w:szCs w:val="24"/>
          <w:shd w:val="clear" w:color="auto" w:fill="FFFFFF"/>
        </w:rPr>
        <w:t>：验证宽带核心网接口速率及转发性能。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端到端业务体验测试仪</w:t>
      </w:r>
      <w:r>
        <w:rPr>
          <w:color w:val="000000"/>
          <w:spacing w:val="0"/>
          <w:sz w:val="24"/>
          <w:szCs w:val="24"/>
          <w:shd w:val="clear" w:color="auto" w:fill="FFFFFF"/>
        </w:rPr>
        <w:t>：评估固移融合场景下的时延、丢包与用户体验。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算网一体化仿真平台</w:t>
      </w:r>
      <w:r>
        <w:rPr>
          <w:color w:val="000000"/>
          <w:spacing w:val="0"/>
          <w:sz w:val="24"/>
          <w:szCs w:val="24"/>
          <w:shd w:val="clear" w:color="auto" w:fill="FFFFFF"/>
        </w:rPr>
        <w:t>：模拟端网算协同调度策略，优化资源利用率。</w:t>
      </w:r>
    </w:p>
    <w:p>
      <w:pPr>
        <w:spacing w:before="9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安全与协议一致性测试仪</w:t>
      </w:r>
      <w:r>
        <w:rPr>
          <w:color w:val="000000"/>
          <w:spacing w:val="0"/>
          <w:sz w:val="24"/>
          <w:szCs w:val="24"/>
          <w:shd w:val="clear" w:color="auto" w:fill="FFFFFF"/>
        </w:rPr>
        <w:t>：确保会话分流、固移转译的合规性与安全性。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利好仪器厂家：</w:t>
      </w:r>
    </w:p>
    <w:p>
      <w:pPr>
        <w:spacing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海回科技、万里眼、触点互动、是德科技</w:t>
      </w:r>
      <w:r>
        <w:rPr>
          <w:color w:val="000000"/>
          <w:sz w:val="24"/>
          <w:szCs w:val="24"/>
        </w:rPr>
        <w:t>等</w:t>
      </w:r>
    </w:p>
    <w:p>
      <w:pPr>
        <w:pStyle w:val="2"/>
        <w:spacing w:before="480" w:after="24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0"/>
          <w:sz w:val="24"/>
          <w:szCs w:val="24"/>
          <w:shd w:val="clear" w:color="auto" w:fill="FFFFFF"/>
        </w:rPr>
        <w:t>结语</w:t>
      </w:r>
    </w:p>
    <w:p>
      <w:pPr>
        <w:spacing w:before="240" w:after="240"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pacing w:val="0"/>
          <w:sz w:val="24"/>
          <w:szCs w:val="24"/>
          <w:shd w:val="clear" w:color="auto" w:fill="FFFFFF"/>
        </w:rPr>
        <w:t>从十大进展可以看出，我国信息通信技术正在从“跟随式创新”走向“引领式创新”。6G、太赫兹、GPMI、卫星互联网、机器联觉等方向的突破，对测试测量仪器提出了</w:t>
      </w:r>
      <w:r>
        <w:rPr>
          <w:b/>
          <w:color w:val="000000"/>
          <w:spacing w:val="0"/>
          <w:sz w:val="24"/>
          <w:szCs w:val="24"/>
          <w:shd w:val="clear" w:color="auto" w:fill="FFFFFF"/>
        </w:rPr>
        <w:t>更高频段、更宽带、更强算力、更复杂场景</w:t>
      </w:r>
      <w:r>
        <w:rPr>
          <w:color w:val="000000"/>
          <w:spacing w:val="0"/>
          <w:sz w:val="24"/>
          <w:szCs w:val="24"/>
          <w:shd w:val="clear" w:color="auto" w:fill="FFFFFF"/>
        </w:rPr>
        <w:t>的全新要求。这也为国内外仪器厂商带来了难得的市场机遇——尤其是信道仿真仪、太赫兹测试系统、GPMI专用测试仪、卫星信道模拟器等细分领域，有望迎来需求高增长。</w:t>
      </w:r>
    </w:p>
    <w:p>
      <w:pPr>
        <w:spacing w:before="150" w:line="360" w:lineRule="auto"/>
        <w:ind w:left="360" w:right="285"/>
        <w:jc w:val="both"/>
        <w:rPr>
          <w:color w:val="000000"/>
          <w:sz w:val="24"/>
          <w:szCs w:val="24"/>
        </w:rPr>
      </w:pPr>
    </w:p>
    <w:p>
      <w:pPr>
        <w:spacing w:line="360" w:lineRule="auto"/>
        <w:ind w:left="360" w:right="285"/>
        <w:jc w:val="both"/>
        <w:rPr>
          <w:color w:val="000000"/>
          <w:sz w:val="24"/>
          <w:szCs w:val="24"/>
        </w:rPr>
      </w:pPr>
    </w:p>
    <w:p>
      <w:pPr>
        <w:spacing w:line="360" w:lineRule="auto"/>
        <w:ind w:left="360" w:right="285"/>
        <w:jc w:val="both"/>
        <w:rPr>
          <w:color w:val="000000"/>
          <w:sz w:val="24"/>
          <w:szCs w:val="24"/>
        </w:rPr>
      </w:pPr>
    </w:p>
    <w:p>
      <w:pPr>
        <w:spacing w:line="360" w:lineRule="auto"/>
        <w:ind w:left="360" w:right="285"/>
        <w:jc w:val="both"/>
        <w:rPr>
          <w:color w:val="000000"/>
          <w:sz w:val="24"/>
          <w:szCs w:val="24"/>
        </w:rPr>
      </w:pPr>
    </w:p>
    <w:p>
      <w:pPr>
        <w:spacing w:line="360" w:lineRule="auto"/>
        <w:jc w:val="center"/>
        <w:rPr>
          <w:color w:val="000000"/>
          <w:sz w:val="24"/>
          <w:szCs w:val="24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napToGrid w:val="0"/>
      <w:spacing w:before="0" w:after="0" w:line="408" w:lineRule="auto"/>
      <w:outlineLvl w:val="0"/>
    </w:pPr>
    <w:rPr>
      <w:rFonts w:ascii="minorHAnsi" w:eastAsia="minorEastAsia" w:cs="Droid Sans Fallback" w:hAnsi="minorHAnsi"/>
      <w:b/>
      <w:bCs/>
      <w:color w:val="1A1A1A"/>
      <w:kern w:val="2"/>
      <w:sz w:val="36"/>
      <w:szCs w:val="36"/>
    </w:rPr>
  </w:style>
  <w:style w:type="paragraph" w:styleId="2">
    <w:name w:val="heading 2"/>
    <w:basedOn w:val="0"/>
    <w:next w:val="0"/>
    <w:pPr>
      <w:keepNext/>
      <w:keepLines/>
      <w:widowControl w:val="0"/>
      <w:snapToGrid w:val="0"/>
      <w:spacing w:before="0" w:after="0" w:line="408" w:lineRule="auto"/>
      <w:outlineLvl w:val="1"/>
    </w:pPr>
    <w:rPr>
      <w:rFonts w:ascii="minorHAnsi" w:eastAsia="minorEastAsia" w:cs="Droid Sans Fallback" w:hAnsi="minorHAnsi"/>
      <w:b/>
      <w:bCs/>
      <w:color w:val="1A1A1A"/>
      <w:kern w:val="2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1E6F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8</Pages>
  <Words>3732</Words>
  <Characters>3908</Characters>
  <Lines>162</Lines>
  <Paragraphs>97</Paragraphs>
  <CharactersWithSpaces>3935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2026-05-22T21:01:22Z</dcterms:created>
  <dcterms:modified xsi:type="dcterms:W3CDTF">2026-05-23T01:53:51Z</dcterms:modified>
</cp:coreProperties>
</file>