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BA8" w:rsidRPr="00A17BA8" w:rsidRDefault="00A17BA8" w:rsidP="00A17BA8">
      <w:pPr>
        <w:spacing w:before="0" w:after="0" w:line="360" w:lineRule="auto"/>
        <w:jc w:val="center"/>
        <w:rPr>
          <w:rFonts w:ascii="黑体" w:eastAsia="黑体" w:hAnsi="黑体" w:hint="eastAsia"/>
          <w:b/>
          <w:color w:val="000000" w:themeColor="text1"/>
          <w:sz w:val="28"/>
          <w:szCs w:val="28"/>
        </w:rPr>
      </w:pPr>
      <w:r w:rsidRPr="00A17BA8">
        <w:rPr>
          <w:rFonts w:ascii="黑体" w:eastAsia="黑体" w:hAnsi="黑体" w:hint="eastAsia"/>
          <w:b/>
          <w:color w:val="000000" w:themeColor="text1"/>
          <w:sz w:val="28"/>
          <w:szCs w:val="28"/>
        </w:rPr>
        <w:t>80MHz-1GHz 宽带高功率功放 一站式赋能EMC测试</w:t>
      </w:r>
    </w:p>
    <w:p w:rsidR="006C2695" w:rsidRPr="00A17BA8" w:rsidRDefault="00A17BA8" w:rsidP="00A17BA8">
      <w:pPr>
        <w:spacing w:before="0" w:after="0" w:line="360" w:lineRule="auto"/>
        <w:jc w:val="center"/>
        <w:rPr>
          <w:rFonts w:ascii="宋体" w:eastAsia="宋体" w:hAnsi="宋体"/>
          <w:color w:val="000000" w:themeColor="text1"/>
          <w:sz w:val="24"/>
          <w:szCs w:val="24"/>
        </w:rPr>
      </w:pP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来源：</w:t>
      </w:r>
      <w:proofErr w:type="gramStart"/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电科思仪</w:t>
      </w:r>
      <w:proofErr w:type="gramEnd"/>
    </w:p>
    <w:p w:rsidR="006C2695" w:rsidRPr="00A17BA8" w:rsidRDefault="00A17BA8" w:rsidP="00A17BA8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在电磁兼容测试领域，宽带、高功率稳定输出的功率放大器，是保障辐射抗扰、传导抗扰等测试精准高效的关键仪器。中</w:t>
      </w:r>
      <w:proofErr w:type="gramStart"/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电科思仪科技</w:t>
      </w:r>
      <w:proofErr w:type="gramEnd"/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股份有限公司（简称“电科思仪”）推出的</w:t>
      </w: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80MHz-1GHz 500W</w:t>
      </w: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固态功率放大器，以指标硬核、性能卓越、操作系统简单快捷，打造</w:t>
      </w: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EMC</w:t>
      </w: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测试一站</w:t>
      </w:r>
      <w:proofErr w:type="gramStart"/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式解决</w:t>
      </w:r>
      <w:proofErr w:type="gramEnd"/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方案。</w:t>
      </w:r>
    </w:p>
    <w:p w:rsidR="006C2695" w:rsidRPr="00A17BA8" w:rsidRDefault="006C2695" w:rsidP="00A17BA8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</w:p>
    <w:p w:rsidR="006C2695" w:rsidRPr="00A17BA8" w:rsidRDefault="00A17BA8" w:rsidP="00A17BA8">
      <w:pPr>
        <w:spacing w:before="0" w:after="0" w:line="360" w:lineRule="auto"/>
        <w:jc w:val="center"/>
        <w:rPr>
          <w:rFonts w:ascii="宋体" w:eastAsia="宋体" w:hAnsi="宋体"/>
          <w:color w:val="000000" w:themeColor="text1"/>
          <w:sz w:val="24"/>
          <w:szCs w:val="24"/>
        </w:rPr>
      </w:pPr>
      <w:r w:rsidRPr="00A17BA8">
        <w:rPr>
          <w:rFonts w:ascii="宋体" w:eastAsia="宋体" w:hAnsi="宋体"/>
          <w:noProof/>
          <w:color w:val="000000" w:themeColor="text1"/>
          <w:sz w:val="24"/>
          <w:szCs w:val="24"/>
        </w:rPr>
        <w:drawing>
          <wp:inline distT="0" distB="0" distL="0" distR="0" wp14:anchorId="20071AB2" wp14:editId="4B97E446">
            <wp:extent cx="4581525" cy="1714500"/>
            <wp:effectExtent l="0" t="0" r="0" b="0"/>
            <wp:docPr id="5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" descr="descript"/>
                    <pic:cNvPicPr/>
                  </pic:nvPicPr>
                  <pic:blipFill rotWithShape="1">
                    <a:blip r:embed="rId5"/>
                    <a:srcRect/>
                    <a:stretch/>
                  </pic:blipFill>
                  <pic:spPr>
                    <a:xfrm rot="21600000">
                      <a:off x="0" y="0"/>
                      <a:ext cx="4579304" cy="1713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2695" w:rsidRPr="00A17BA8" w:rsidRDefault="00A17BA8" w:rsidP="00A17BA8">
      <w:pPr>
        <w:spacing w:before="0" w:after="0" w:line="360" w:lineRule="auto"/>
        <w:ind w:firstLineChars="200" w:firstLine="480"/>
        <w:jc w:val="center"/>
        <w:rPr>
          <w:rFonts w:ascii="宋体" w:eastAsia="宋体" w:hAnsi="宋体"/>
          <w:color w:val="000000" w:themeColor="text1"/>
          <w:sz w:val="24"/>
          <w:szCs w:val="24"/>
        </w:rPr>
      </w:pP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图</w:t>
      </w: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1 80MHz-1GHz 500W</w:t>
      </w: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固态功率放大器</w:t>
      </w:r>
    </w:p>
    <w:p w:rsidR="006C2695" w:rsidRPr="00A17BA8" w:rsidRDefault="00A17BA8" w:rsidP="00A17BA8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（</w:t>
      </w: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1</w:t>
      </w: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）宽带大功率：实现</w:t>
      </w: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80MHz-1GHz</w:t>
      </w: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超宽带连续覆盖，满足民用、工业、</w:t>
      </w:r>
      <w:proofErr w:type="gramStart"/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车载等</w:t>
      </w:r>
      <w:proofErr w:type="gramEnd"/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主流</w:t>
      </w: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EMC</w:t>
      </w: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测试标准频段，且全频段内实现高线性大功率稳定输出，饱和功率可达</w:t>
      </w: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500W</w:t>
      </w: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，能确保放大器输出的信号场强达标。</w:t>
      </w:r>
    </w:p>
    <w:p w:rsidR="006C2695" w:rsidRPr="00A17BA8" w:rsidRDefault="00A17BA8" w:rsidP="00A17BA8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（</w:t>
      </w: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2</w:t>
      </w: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）高性能指标：采用多个模块进行合成输出，合成效率高，</w:t>
      </w:r>
      <w:proofErr w:type="gramStart"/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通路插损小</w:t>
      </w:r>
      <w:proofErr w:type="gramEnd"/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；同时采用高效率散热结构设计，强制风冷，实现连续满载工作</w:t>
      </w:r>
      <w:proofErr w:type="gramStart"/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不</w:t>
      </w:r>
      <w:proofErr w:type="gramEnd"/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过热、不降功率，以此</w:t>
      </w:r>
      <w:proofErr w:type="gramStart"/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保障长</w:t>
      </w:r>
      <w:proofErr w:type="gramEnd"/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时间测试的连续性与稳定性。</w:t>
      </w:r>
    </w:p>
    <w:p w:rsidR="006C2695" w:rsidRPr="00A17BA8" w:rsidRDefault="00A17BA8" w:rsidP="00A17BA8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（</w:t>
      </w: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3</w:t>
      </w: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）高谐波和杂散抑制：在</w:t>
      </w: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1dB</w:t>
      </w: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压缩点输出功率的测试条件下，谐波</w:t>
      </w:r>
      <w:proofErr w:type="gramStart"/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抑制全</w:t>
      </w:r>
      <w:proofErr w:type="gramEnd"/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频段小于</w:t>
      </w: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-20dBc</w:t>
      </w: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，杂散</w:t>
      </w:r>
      <w:proofErr w:type="gramStart"/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抑制全</w:t>
      </w:r>
      <w:proofErr w:type="gramEnd"/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频段小于</w:t>
      </w: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-60dBc</w:t>
      </w: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，确保产生的辐射</w:t>
      </w: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电磁场高度纯净，使抗扰度测试结果更贴合实际应用场景，提升测试数据的可信度与准确性。</w:t>
      </w:r>
    </w:p>
    <w:p w:rsidR="006C2695" w:rsidRPr="00A17BA8" w:rsidRDefault="00A17BA8" w:rsidP="00A17BA8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（</w:t>
      </w: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4</w:t>
      </w: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）全功率系列产品：整机内部采用模块化设计，可根据需求进行多路合成形成更大输出功率产品，功率量级覆盖</w:t>
      </w: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50W-3000W</w:t>
      </w: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。</w:t>
      </w:r>
    </w:p>
    <w:p w:rsidR="006C2695" w:rsidRPr="00A17BA8" w:rsidRDefault="006C2695" w:rsidP="00A17BA8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</w:p>
    <w:p w:rsidR="006C2695" w:rsidRPr="00A17BA8" w:rsidRDefault="00A17BA8" w:rsidP="00A17BA8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17BA8">
        <w:rPr>
          <w:rFonts w:ascii="宋体" w:eastAsia="宋体" w:hAnsi="宋体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249FE7AE" wp14:editId="2587CFBC">
            <wp:extent cx="3638550" cy="2924175"/>
            <wp:effectExtent l="0" t="0" r="0" b="0"/>
            <wp:docPr id="11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" descr="descript"/>
                    <pic:cNvPicPr/>
                  </pic:nvPicPr>
                  <pic:blipFill rotWithShape="1">
                    <a:blip r:embed="rId6"/>
                    <a:srcRect/>
                    <a:stretch/>
                  </pic:blipFill>
                  <pic:spPr>
                    <a:xfrm rot="21600000">
                      <a:off x="0" y="0"/>
                      <a:ext cx="3636786" cy="2922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2695" w:rsidRPr="00A17BA8" w:rsidRDefault="00A17BA8" w:rsidP="00A17BA8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17BA8">
        <w:rPr>
          <w:rFonts w:ascii="宋体" w:eastAsia="宋体" w:hAnsi="宋体"/>
          <w:noProof/>
          <w:color w:val="000000" w:themeColor="text1"/>
          <w:sz w:val="24"/>
          <w:szCs w:val="24"/>
        </w:rPr>
        <w:drawing>
          <wp:inline distT="0" distB="0" distL="0" distR="0" wp14:anchorId="66392ABF" wp14:editId="3A29DE38">
            <wp:extent cx="3933825" cy="2543175"/>
            <wp:effectExtent l="0" t="0" r="0" b="0"/>
            <wp:docPr id="14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" descr="descript"/>
                    <pic:cNvPicPr/>
                  </pic:nvPicPr>
                  <pic:blipFill rotWithShape="1">
                    <a:blip r:embed="rId7"/>
                    <a:srcRect/>
                    <a:stretch/>
                  </pic:blipFill>
                  <pic:spPr>
                    <a:xfrm rot="21600000">
                      <a:off x="0" y="0"/>
                      <a:ext cx="3931918" cy="254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2695" w:rsidRPr="00A17BA8" w:rsidRDefault="00A17BA8" w:rsidP="00A17BA8">
      <w:pPr>
        <w:spacing w:before="0" w:after="0" w:line="360" w:lineRule="auto"/>
        <w:ind w:firstLineChars="200" w:firstLine="480"/>
        <w:jc w:val="center"/>
        <w:rPr>
          <w:rFonts w:ascii="宋体" w:eastAsia="宋体" w:hAnsi="宋体"/>
          <w:color w:val="000000" w:themeColor="text1"/>
          <w:sz w:val="24"/>
          <w:szCs w:val="24"/>
        </w:rPr>
      </w:pP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图</w:t>
      </w: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2 80MHz-1GHz 500W</w:t>
      </w: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固态功率放大器输出功率和杂散抑制</w:t>
      </w:r>
    </w:p>
    <w:p w:rsidR="006C2695" w:rsidRPr="00A17BA8" w:rsidRDefault="00A17BA8" w:rsidP="00A17BA8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（</w:t>
      </w: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1</w:t>
      </w: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）</w:t>
      </w:r>
      <w:proofErr w:type="gramStart"/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极</w:t>
      </w:r>
      <w:proofErr w:type="gramEnd"/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简操作系统：仪器配备触摸屏，界面布局简洁美观，参数显示清晰明了，功率、频率、温度等关键数据实时可视化。按键布局合理，常用功能直接显示在主界面中，操作流程简化，无需专业培训即可</w:t>
      </w: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快速上手操作。</w:t>
      </w:r>
    </w:p>
    <w:p w:rsidR="006C2695" w:rsidRPr="00A17BA8" w:rsidRDefault="00A17BA8" w:rsidP="00A17BA8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（</w:t>
      </w: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2</w:t>
      </w: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）集成多重功能：内部集成多重保护机制（输入</w:t>
      </w: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/</w:t>
      </w: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输出功率过高、风冷、过温等报警与保护功能），实时监测功放的运行状态；配备风扇自适应功能，根据放大器实际工作情况，自行调节风扇转速，在保证仪器散热稳定的同时降低噪音。</w:t>
      </w:r>
    </w:p>
    <w:p w:rsidR="006C2695" w:rsidRPr="00A17BA8" w:rsidRDefault="00A17BA8" w:rsidP="00A17BA8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（</w:t>
      </w: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3</w:t>
      </w: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）多种操控模式：系统支持本地触控、远程</w:t>
      </w: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GPIB</w:t>
      </w: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、网线多种控制模式。放大器本地操作便捷高效；远程控制则能在操作人员不方便手动操作的环境下突破空间限制，通过程控命令完成放大器响应设置，且可以提供通讯协议，写入自动测试软件，与其他仪器设备构成系统，提高测试效率。</w:t>
      </w:r>
    </w:p>
    <w:p w:rsidR="006C2695" w:rsidRPr="00A17BA8" w:rsidRDefault="00A17BA8" w:rsidP="00A17BA8">
      <w:pPr>
        <w:spacing w:before="0" w:after="0" w:line="360" w:lineRule="auto"/>
        <w:ind w:firstLineChars="200" w:firstLine="480"/>
        <w:jc w:val="center"/>
        <w:rPr>
          <w:rFonts w:ascii="宋体" w:eastAsia="宋体" w:hAnsi="宋体"/>
          <w:color w:val="000000" w:themeColor="text1"/>
          <w:sz w:val="24"/>
          <w:szCs w:val="24"/>
        </w:rPr>
      </w:pPr>
      <w:bookmarkStart w:id="0" w:name="_GoBack"/>
      <w:bookmarkEnd w:id="0"/>
      <w:r w:rsidRPr="00A17BA8">
        <w:rPr>
          <w:rFonts w:ascii="宋体" w:eastAsia="宋体" w:hAnsi="宋体"/>
          <w:noProof/>
          <w:color w:val="000000" w:themeColor="text1"/>
          <w:sz w:val="24"/>
          <w:szCs w:val="24"/>
        </w:rPr>
        <w:drawing>
          <wp:inline distT="0" distB="0" distL="0" distR="0" wp14:anchorId="733ED558" wp14:editId="4C8B8A5A">
            <wp:extent cx="3648075" cy="1914525"/>
            <wp:effectExtent l="0" t="0" r="0" b="0"/>
            <wp:docPr id="20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" descr="descript"/>
                    <pic:cNvPicPr/>
                  </pic:nvPicPr>
                  <pic:blipFill rotWithShape="1">
                    <a:blip r:embed="rId8"/>
                    <a:srcRect/>
                    <a:stretch/>
                  </pic:blipFill>
                  <pic:spPr>
                    <a:xfrm rot="21600000">
                      <a:off x="0" y="0"/>
                      <a:ext cx="3646307" cy="1913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2695" w:rsidRPr="00A17BA8" w:rsidRDefault="00A17BA8" w:rsidP="00A17BA8">
      <w:pPr>
        <w:spacing w:before="0" w:after="0" w:line="360" w:lineRule="auto"/>
        <w:ind w:firstLineChars="200" w:firstLine="480"/>
        <w:jc w:val="center"/>
        <w:rPr>
          <w:rFonts w:ascii="宋体" w:eastAsia="宋体" w:hAnsi="宋体"/>
          <w:color w:val="000000" w:themeColor="text1"/>
          <w:sz w:val="24"/>
          <w:szCs w:val="24"/>
        </w:rPr>
      </w:pP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图</w:t>
      </w: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3 </w:t>
      </w: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80MHz-1GHz 500W</w:t>
      </w: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固态功率放大器人机交互界面</w:t>
      </w:r>
    </w:p>
    <w:p w:rsidR="006C2695" w:rsidRPr="00A17BA8" w:rsidRDefault="00A17BA8" w:rsidP="00A17BA8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未来，</w:t>
      </w:r>
      <w:proofErr w:type="gramStart"/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电科思仪</w:t>
      </w:r>
      <w:proofErr w:type="gramEnd"/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将持续深耕电磁兼容测试领域，以技术创新打磨产品性能，站在客户的角度优化操作体验，做出性能更优、质量更佳的宽带固态功率放大器产品。除本次新推出的</w:t>
      </w: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80MHz-1GHz 500W</w:t>
      </w: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固态功率放大器外，公司还提供工作频率覆盖</w:t>
      </w: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4kHz-110GHz</w:t>
      </w: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的系列化功率放大器产品，功率量级涵盖</w:t>
      </w: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0.1W</w:t>
      </w: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到万瓦级，产品种类丰富，为客户提供高效能、全方位的系统解决方案。更多产品详情，</w:t>
      </w:r>
      <w:proofErr w:type="gramStart"/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请访问公司官网</w:t>
      </w:r>
      <w:proofErr w:type="gramEnd"/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或拨打咨询热线</w:t>
      </w: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4001684191</w:t>
      </w:r>
      <w:r w:rsidRPr="00A17BA8">
        <w:rPr>
          <w:rFonts w:ascii="宋体" w:eastAsia="宋体" w:hAnsi="宋体" w:hint="eastAsia"/>
          <w:color w:val="000000" w:themeColor="text1"/>
          <w:sz w:val="24"/>
          <w:szCs w:val="24"/>
        </w:rPr>
        <w:t>。</w:t>
      </w:r>
    </w:p>
    <w:sectPr w:rsidR="006C2695" w:rsidRPr="00A17BA8">
      <w:pgSz w:w="11906" w:h="16838"/>
      <w:pgMar w:top="1440" w:right="1800" w:bottom="1440" w:left="1800" w:header="712" w:footer="85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norHAnsi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characterSpacingControl w:val="doNotCompress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C2695"/>
    <w:rsid w:val="006C2695"/>
    <w:rsid w:val="00A1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norHAnsi" w:eastAsiaTheme="minorEastAsia" w:hAnsi="minorHAnsi" w:cstheme="minorBidi"/>
        <w:color w:val="333333"/>
        <w:kern w:val="2"/>
        <w:sz w:val="22"/>
        <w:szCs w:val="22"/>
        <w:lang w:val="en-US" w:eastAsia="zh-CN" w:bidi="ar-SA"/>
      </w:rPr>
    </w:rPrDefault>
    <w:pPrDefault>
      <w:pPr>
        <w:snapToGrid w:val="0"/>
        <w:spacing w:before="60" w:after="60" w:line="31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0" w:after="0" w:line="408" w:lineRule="auto"/>
      <w:outlineLvl w:val="0"/>
    </w:pPr>
    <w:rPr>
      <w:b/>
      <w:bCs/>
      <w:color w:val="1A1A1A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17BA8"/>
    <w:pPr>
      <w:spacing w:before="0" w:after="0"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17BA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177</Words>
  <Characters>1009</Characters>
  <Application>Microsoft Office Word</Application>
  <DocSecurity>0</DocSecurity>
  <Lines>8</Lines>
  <Paragraphs>2</Paragraphs>
  <ScaleCrop>false</ScaleCrop>
  <Company>Organization</Company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用户</cp:lastModifiedBy>
  <cp:revision>2</cp:revision>
  <dcterms:created xsi:type="dcterms:W3CDTF">2026-09-30T09:37:00Z</dcterms:created>
  <dcterms:modified xsi:type="dcterms:W3CDTF">2026-10-01T01:17:00Z</dcterms:modified>
</cp:coreProperties>
</file>