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223E" w:rsidRPr="004D223E" w:rsidRDefault="004D223E" w:rsidP="004D223E">
      <w:pPr>
        <w:spacing w:line="360" w:lineRule="auto"/>
        <w:jc w:val="center"/>
        <w:rPr>
          <w:rFonts w:ascii="黑体" w:eastAsia="黑体" w:hAnsi="黑体" w:hint="eastAsia"/>
          <w:b/>
          <w:color w:val="000000" w:themeColor="text1"/>
          <w:sz w:val="28"/>
          <w:szCs w:val="28"/>
        </w:rPr>
      </w:pPr>
      <w:bookmarkStart w:id="0" w:name="_GoBack"/>
      <w:r w:rsidRPr="004D223E">
        <w:rPr>
          <w:rFonts w:ascii="黑体" w:eastAsia="黑体" w:hAnsi="黑体" w:hint="eastAsia"/>
          <w:b/>
          <w:color w:val="000000" w:themeColor="text1"/>
          <w:sz w:val="28"/>
          <w:szCs w:val="28"/>
        </w:rPr>
        <w:t>消费、外贸、投资多项数据回暖，折射三季度经济稳中向优发展</w:t>
      </w:r>
      <w:bookmarkEnd w:id="0"/>
    </w:p>
    <w:p w:rsidR="004D223E" w:rsidRPr="004D223E" w:rsidRDefault="004D223E" w:rsidP="004D223E">
      <w:pPr>
        <w:spacing w:line="360" w:lineRule="auto"/>
        <w:jc w:val="center"/>
        <w:rPr>
          <w:rFonts w:ascii="宋体" w:eastAsia="宋体" w:hAnsi="宋体" w:hint="eastAsia"/>
          <w:color w:val="000000" w:themeColor="text1"/>
          <w:sz w:val="24"/>
          <w:szCs w:val="24"/>
        </w:rPr>
      </w:pPr>
      <w:r w:rsidRPr="004D223E">
        <w:rPr>
          <w:rFonts w:ascii="宋体" w:eastAsia="宋体" w:hAnsi="宋体" w:hint="eastAsia"/>
          <w:color w:val="000000" w:themeColor="text1"/>
          <w:sz w:val="24"/>
          <w:szCs w:val="24"/>
        </w:rPr>
        <w:t>来源：中国电子报、电子信息</w:t>
      </w:r>
      <w:proofErr w:type="gramStart"/>
      <w:r w:rsidRPr="004D223E">
        <w:rPr>
          <w:rFonts w:ascii="宋体" w:eastAsia="宋体" w:hAnsi="宋体" w:hint="eastAsia"/>
          <w:color w:val="000000" w:themeColor="text1"/>
          <w:sz w:val="24"/>
          <w:szCs w:val="24"/>
        </w:rPr>
        <w:t>产业网</w:t>
      </w:r>
      <w:proofErr w:type="gramEnd"/>
      <w:r w:rsidRPr="004D223E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　</w:t>
      </w:r>
      <w:r w:rsidRPr="004D223E">
        <w:rPr>
          <w:rFonts w:ascii="宋体" w:eastAsia="宋体" w:hAnsi="宋体" w:hint="eastAsia"/>
          <w:color w:val="000000" w:themeColor="text1"/>
          <w:kern w:val="0"/>
          <w:sz w:val="24"/>
          <w:szCs w:val="24"/>
        </w:rPr>
        <w:t>作者：齐旭</w:t>
      </w:r>
    </w:p>
    <w:p w:rsidR="004D223E" w:rsidRDefault="004D223E" w:rsidP="004D223E">
      <w:pPr>
        <w:spacing w:line="360" w:lineRule="auto"/>
        <w:ind w:firstLineChars="200" w:firstLine="480"/>
        <w:rPr>
          <w:rFonts w:ascii="宋体" w:eastAsia="宋体" w:hAnsi="宋体" w:hint="eastAsia"/>
          <w:color w:val="000000" w:themeColor="text1"/>
          <w:sz w:val="24"/>
          <w:szCs w:val="24"/>
        </w:rPr>
      </w:pPr>
      <w:r w:rsidRPr="004D223E">
        <w:rPr>
          <w:rFonts w:ascii="宋体" w:eastAsia="宋体" w:hAnsi="宋体" w:hint="eastAsia"/>
          <w:color w:val="000000" w:themeColor="text1"/>
          <w:sz w:val="24"/>
          <w:szCs w:val="24"/>
        </w:rPr>
        <w:t>近日，记者从国家发展改革委国家信息中心获悉，今年三季度，我国消费、外贸、投资等领域多项高频数据平稳向好，我国经济保持稳中有进、稳中向优态势，增长动能不断积蓄。</w:t>
      </w:r>
      <w:r w:rsidRPr="004D223E">
        <w:rPr>
          <w:rFonts w:ascii="宋体" w:eastAsia="宋体" w:hAnsi="宋体"/>
          <w:color w:val="000000" w:themeColor="text1"/>
          <w:sz w:val="24"/>
          <w:szCs w:val="24"/>
        </w:rPr>
        <w:t xml:space="preserve"> </w:t>
      </w:r>
    </w:p>
    <w:p w:rsidR="004D223E" w:rsidRDefault="004D223E" w:rsidP="004D223E">
      <w:pPr>
        <w:spacing w:line="360" w:lineRule="auto"/>
        <w:ind w:firstLineChars="200" w:firstLine="480"/>
        <w:rPr>
          <w:rFonts w:ascii="宋体" w:eastAsia="宋体" w:hAnsi="宋体" w:hint="eastAsia"/>
          <w:color w:val="000000" w:themeColor="text1"/>
          <w:sz w:val="24"/>
          <w:szCs w:val="24"/>
        </w:rPr>
      </w:pPr>
      <w:r w:rsidRPr="004D223E">
        <w:rPr>
          <w:rFonts w:ascii="宋体" w:eastAsia="宋体" w:hAnsi="宋体" w:hint="eastAsia"/>
          <w:color w:val="000000" w:themeColor="text1"/>
          <w:sz w:val="24"/>
          <w:szCs w:val="24"/>
        </w:rPr>
        <w:t>消费方面，三季度，各类消费支付金额同比增长</w:t>
      </w:r>
      <w:r w:rsidRPr="004D223E">
        <w:rPr>
          <w:rFonts w:ascii="宋体" w:eastAsia="宋体" w:hAnsi="宋体"/>
          <w:color w:val="000000" w:themeColor="text1"/>
          <w:sz w:val="24"/>
          <w:szCs w:val="24"/>
        </w:rPr>
        <w:t>2.6%</w:t>
      </w:r>
      <w:r w:rsidRPr="004D223E">
        <w:rPr>
          <w:rFonts w:ascii="宋体" w:eastAsia="宋体" w:hAnsi="宋体" w:hint="eastAsia"/>
          <w:color w:val="000000" w:themeColor="text1"/>
          <w:sz w:val="24"/>
          <w:szCs w:val="24"/>
        </w:rPr>
        <w:t>，增速较二季度提高</w:t>
      </w:r>
      <w:r w:rsidRPr="004D223E">
        <w:rPr>
          <w:rFonts w:ascii="宋体" w:eastAsia="宋体" w:hAnsi="宋体"/>
          <w:color w:val="000000" w:themeColor="text1"/>
          <w:sz w:val="24"/>
          <w:szCs w:val="24"/>
        </w:rPr>
        <w:t>0.7</w:t>
      </w:r>
      <w:r w:rsidRPr="004D223E">
        <w:rPr>
          <w:rFonts w:ascii="宋体" w:eastAsia="宋体" w:hAnsi="宋体" w:hint="eastAsia"/>
          <w:color w:val="000000" w:themeColor="text1"/>
          <w:sz w:val="24"/>
          <w:szCs w:val="24"/>
        </w:rPr>
        <w:t>个百分点。</w:t>
      </w:r>
      <w:r w:rsidRPr="004D223E">
        <w:rPr>
          <w:rFonts w:ascii="宋体" w:eastAsia="宋体" w:hAnsi="宋体"/>
          <w:color w:val="000000" w:themeColor="text1"/>
          <w:sz w:val="24"/>
          <w:szCs w:val="24"/>
        </w:rPr>
        <w:t>9</w:t>
      </w:r>
      <w:r w:rsidRPr="004D223E">
        <w:rPr>
          <w:rFonts w:ascii="宋体" w:eastAsia="宋体" w:hAnsi="宋体" w:hint="eastAsia"/>
          <w:color w:val="000000" w:themeColor="text1"/>
          <w:sz w:val="24"/>
          <w:szCs w:val="24"/>
        </w:rPr>
        <w:t>月线下支付金额同比增长</w:t>
      </w:r>
      <w:r w:rsidRPr="004D223E">
        <w:rPr>
          <w:rFonts w:ascii="宋体" w:eastAsia="宋体" w:hAnsi="宋体"/>
          <w:color w:val="000000" w:themeColor="text1"/>
          <w:sz w:val="24"/>
          <w:szCs w:val="24"/>
        </w:rPr>
        <w:t>3.1%</w:t>
      </w:r>
      <w:r w:rsidRPr="004D223E">
        <w:rPr>
          <w:rFonts w:ascii="宋体" w:eastAsia="宋体" w:hAnsi="宋体" w:hint="eastAsia"/>
          <w:color w:val="000000" w:themeColor="text1"/>
          <w:sz w:val="24"/>
          <w:szCs w:val="24"/>
        </w:rPr>
        <w:t>，增速较</w:t>
      </w:r>
      <w:r w:rsidRPr="004D223E">
        <w:rPr>
          <w:rFonts w:ascii="宋体" w:eastAsia="宋体" w:hAnsi="宋体"/>
          <w:color w:val="000000" w:themeColor="text1"/>
          <w:sz w:val="24"/>
          <w:szCs w:val="24"/>
        </w:rPr>
        <w:t>8</w:t>
      </w:r>
      <w:r w:rsidRPr="004D223E">
        <w:rPr>
          <w:rFonts w:ascii="宋体" w:eastAsia="宋体" w:hAnsi="宋体" w:hint="eastAsia"/>
          <w:color w:val="000000" w:themeColor="text1"/>
          <w:sz w:val="24"/>
          <w:szCs w:val="24"/>
        </w:rPr>
        <w:t>月提高</w:t>
      </w:r>
      <w:r w:rsidRPr="004D223E">
        <w:rPr>
          <w:rFonts w:ascii="宋体" w:eastAsia="宋体" w:hAnsi="宋体"/>
          <w:color w:val="000000" w:themeColor="text1"/>
          <w:sz w:val="24"/>
          <w:szCs w:val="24"/>
        </w:rPr>
        <w:t>0.5</w:t>
      </w:r>
      <w:r w:rsidRPr="004D223E">
        <w:rPr>
          <w:rFonts w:ascii="宋体" w:eastAsia="宋体" w:hAnsi="宋体" w:hint="eastAsia"/>
          <w:color w:val="000000" w:themeColor="text1"/>
          <w:sz w:val="24"/>
          <w:szCs w:val="24"/>
        </w:rPr>
        <w:t>个百分点，连续</w:t>
      </w:r>
      <w:r w:rsidRPr="004D223E">
        <w:rPr>
          <w:rFonts w:ascii="宋体" w:eastAsia="宋体" w:hAnsi="宋体"/>
          <w:color w:val="000000" w:themeColor="text1"/>
          <w:sz w:val="24"/>
          <w:szCs w:val="24"/>
        </w:rPr>
        <w:t>3</w:t>
      </w:r>
      <w:r w:rsidRPr="004D223E">
        <w:rPr>
          <w:rFonts w:ascii="宋体" w:eastAsia="宋体" w:hAnsi="宋体" w:hint="eastAsia"/>
          <w:color w:val="000000" w:themeColor="text1"/>
          <w:sz w:val="24"/>
          <w:szCs w:val="24"/>
        </w:rPr>
        <w:t>个月上行。</w:t>
      </w:r>
      <w:r w:rsidRPr="004D223E">
        <w:rPr>
          <w:rFonts w:ascii="宋体" w:eastAsia="宋体" w:hAnsi="宋体"/>
          <w:color w:val="000000" w:themeColor="text1"/>
          <w:sz w:val="24"/>
          <w:szCs w:val="24"/>
        </w:rPr>
        <w:t xml:space="preserve"> </w:t>
      </w:r>
    </w:p>
    <w:p w:rsidR="004D223E" w:rsidRDefault="004D223E" w:rsidP="004D223E">
      <w:pPr>
        <w:spacing w:line="360" w:lineRule="auto"/>
        <w:ind w:firstLineChars="200" w:firstLine="480"/>
        <w:rPr>
          <w:rFonts w:ascii="宋体" w:eastAsia="宋体" w:hAnsi="宋体" w:hint="eastAsia"/>
          <w:color w:val="000000" w:themeColor="text1"/>
          <w:sz w:val="24"/>
          <w:szCs w:val="24"/>
        </w:rPr>
      </w:pPr>
      <w:r w:rsidRPr="004D223E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外贸方面，三季度主要港口货运船舶离港、到港载重同比分别增长43.1%、0.3%，较二季度提高43.0、0.7个百分点。其中，9月主要港口货运船舶离港、到港载重同比分别增长53.2%、4.5%。面对复杂严峻的国际环境，我国外贸继续保持高景气态势，展现出强大韧性和活力，为全球市场注入更多确定性。 </w:t>
      </w:r>
    </w:p>
    <w:p w:rsidR="004D223E" w:rsidRDefault="004D223E" w:rsidP="004D223E">
      <w:pPr>
        <w:spacing w:line="360" w:lineRule="auto"/>
        <w:ind w:firstLineChars="200" w:firstLine="480"/>
        <w:rPr>
          <w:rFonts w:ascii="宋体" w:eastAsia="宋体" w:hAnsi="宋体" w:hint="eastAsia"/>
          <w:color w:val="000000" w:themeColor="text1"/>
          <w:sz w:val="24"/>
          <w:szCs w:val="24"/>
        </w:rPr>
      </w:pPr>
      <w:r w:rsidRPr="004D223E">
        <w:rPr>
          <w:rFonts w:ascii="宋体" w:eastAsia="宋体" w:hAnsi="宋体" w:hint="eastAsia"/>
          <w:color w:val="000000" w:themeColor="text1"/>
          <w:sz w:val="24"/>
          <w:szCs w:val="24"/>
        </w:rPr>
        <w:t>投资方面，9月全国新增专项债券发行额同比增长50.2%，增速较8月提高43.6个百分点。</w:t>
      </w:r>
      <w:proofErr w:type="gramStart"/>
      <w:r w:rsidRPr="004D223E">
        <w:rPr>
          <w:rFonts w:ascii="宋体" w:eastAsia="宋体" w:hAnsi="宋体" w:hint="eastAsia"/>
          <w:color w:val="000000" w:themeColor="text1"/>
          <w:sz w:val="24"/>
          <w:szCs w:val="24"/>
        </w:rPr>
        <w:t>与算力</w:t>
      </w:r>
      <w:proofErr w:type="gramEnd"/>
      <w:r w:rsidRPr="004D223E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、数据、网络等新型基础设施相关的项目中标金额三季度同比增长34.2%，9月同比增长50.4%。资本投资数据显示，三季度人工智能、人形机器人等前沿领域资本投资金额同比增长184.1%，9月同比增长198.7%。 </w:t>
      </w:r>
    </w:p>
    <w:p w:rsidR="00D02623" w:rsidRPr="004D223E" w:rsidRDefault="004D223E" w:rsidP="004D223E">
      <w:pPr>
        <w:spacing w:line="360" w:lineRule="auto"/>
        <w:ind w:firstLineChars="200" w:firstLine="480"/>
        <w:rPr>
          <w:rFonts w:ascii="宋体" w:eastAsia="宋体" w:hAnsi="宋体"/>
          <w:color w:val="000000" w:themeColor="text1"/>
          <w:sz w:val="24"/>
          <w:szCs w:val="24"/>
        </w:rPr>
      </w:pPr>
      <w:r w:rsidRPr="004D223E">
        <w:rPr>
          <w:rFonts w:ascii="宋体" w:eastAsia="宋体" w:hAnsi="宋体" w:hint="eastAsia"/>
          <w:color w:val="000000" w:themeColor="text1"/>
          <w:sz w:val="24"/>
          <w:szCs w:val="24"/>
        </w:rPr>
        <w:t>国家发展改革委国家信息中心大数据发展部副主任魏颖指出，三季度以来，我国各项促消费政策</w:t>
      </w:r>
      <w:proofErr w:type="gramStart"/>
      <w:r w:rsidRPr="004D223E">
        <w:rPr>
          <w:rFonts w:ascii="宋体" w:eastAsia="宋体" w:hAnsi="宋体" w:hint="eastAsia"/>
          <w:color w:val="000000" w:themeColor="text1"/>
          <w:sz w:val="24"/>
          <w:szCs w:val="24"/>
        </w:rPr>
        <w:t>持续扩围加力</w:t>
      </w:r>
      <w:proofErr w:type="gramEnd"/>
      <w:r w:rsidRPr="004D223E">
        <w:rPr>
          <w:rFonts w:ascii="宋体" w:eastAsia="宋体" w:hAnsi="宋体" w:hint="eastAsia"/>
          <w:color w:val="000000" w:themeColor="text1"/>
          <w:sz w:val="24"/>
          <w:szCs w:val="24"/>
        </w:rPr>
        <w:t>，居民消费意愿稳步回暖，市场消费需求不断释放，超大规模市场优势进一步凸显，为扩内需、</w:t>
      </w:r>
      <w:proofErr w:type="gramStart"/>
      <w:r w:rsidRPr="004D223E">
        <w:rPr>
          <w:rFonts w:ascii="宋体" w:eastAsia="宋体" w:hAnsi="宋体" w:hint="eastAsia"/>
          <w:color w:val="000000" w:themeColor="text1"/>
          <w:sz w:val="24"/>
          <w:szCs w:val="24"/>
        </w:rPr>
        <w:t>稳增长</w:t>
      </w:r>
      <w:proofErr w:type="gramEnd"/>
      <w:r w:rsidRPr="004D223E">
        <w:rPr>
          <w:rFonts w:ascii="宋体" w:eastAsia="宋体" w:hAnsi="宋体" w:hint="eastAsia"/>
          <w:color w:val="000000" w:themeColor="text1"/>
          <w:sz w:val="24"/>
          <w:szCs w:val="24"/>
        </w:rPr>
        <w:t>提供了有力支撑。特别是9月份，</w:t>
      </w:r>
      <w:proofErr w:type="gramStart"/>
      <w:r w:rsidRPr="004D223E">
        <w:rPr>
          <w:rFonts w:ascii="宋体" w:eastAsia="宋体" w:hAnsi="宋体" w:hint="eastAsia"/>
          <w:color w:val="000000" w:themeColor="text1"/>
          <w:sz w:val="24"/>
          <w:szCs w:val="24"/>
        </w:rPr>
        <w:t>稳投资</w:t>
      </w:r>
      <w:proofErr w:type="gramEnd"/>
      <w:r w:rsidRPr="004D223E">
        <w:rPr>
          <w:rFonts w:ascii="宋体" w:eastAsia="宋体" w:hAnsi="宋体" w:hint="eastAsia"/>
          <w:color w:val="000000" w:themeColor="text1"/>
          <w:sz w:val="24"/>
          <w:szCs w:val="24"/>
        </w:rPr>
        <w:t>各项政策打出组合拳，投资资金保障力度明显增强，人工智能等前沿领域投资保持强劲势头，既为当前</w:t>
      </w:r>
      <w:proofErr w:type="gramStart"/>
      <w:r w:rsidRPr="004D223E">
        <w:rPr>
          <w:rFonts w:ascii="宋体" w:eastAsia="宋体" w:hAnsi="宋体" w:hint="eastAsia"/>
          <w:color w:val="000000" w:themeColor="text1"/>
          <w:sz w:val="24"/>
          <w:szCs w:val="24"/>
        </w:rPr>
        <w:t>稳增长</w:t>
      </w:r>
      <w:proofErr w:type="gramEnd"/>
      <w:r w:rsidRPr="004D223E">
        <w:rPr>
          <w:rFonts w:ascii="宋体" w:eastAsia="宋体" w:hAnsi="宋体" w:hint="eastAsia"/>
          <w:color w:val="000000" w:themeColor="text1"/>
          <w:sz w:val="24"/>
          <w:szCs w:val="24"/>
        </w:rPr>
        <w:t>提供坚实保障，也为加快培育新质生产力积蓄动能。</w:t>
      </w:r>
    </w:p>
    <w:sectPr w:rsidR="00D02623" w:rsidRPr="004D223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180C"/>
    <w:rsid w:val="000763EE"/>
    <w:rsid w:val="001E2470"/>
    <w:rsid w:val="00255EF1"/>
    <w:rsid w:val="0031467B"/>
    <w:rsid w:val="003C2455"/>
    <w:rsid w:val="00484D36"/>
    <w:rsid w:val="004D223E"/>
    <w:rsid w:val="00692EAA"/>
    <w:rsid w:val="00703FE1"/>
    <w:rsid w:val="00804B5B"/>
    <w:rsid w:val="008E5C5E"/>
    <w:rsid w:val="009066AF"/>
    <w:rsid w:val="00AD21A1"/>
    <w:rsid w:val="00D02623"/>
    <w:rsid w:val="00E02350"/>
    <w:rsid w:val="00FA1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104</Words>
  <Characters>597</Characters>
  <Application>Microsoft Office Word</Application>
  <DocSecurity>0</DocSecurity>
  <Lines>4</Lines>
  <Paragraphs>1</Paragraphs>
  <ScaleCrop>false</ScaleCrop>
  <Company>Organization</Company>
  <LinksUpToDate>false</LinksUpToDate>
  <CharactersWithSpaces>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Windows 用户</cp:lastModifiedBy>
  <cp:revision>2</cp:revision>
  <dcterms:created xsi:type="dcterms:W3CDTF">2026-10-14T00:46:00Z</dcterms:created>
  <dcterms:modified xsi:type="dcterms:W3CDTF">2026-10-14T00:49:00Z</dcterms:modified>
</cp:coreProperties>
</file>