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38" w:rsidRPr="00111138" w:rsidRDefault="00111138" w:rsidP="00111138">
      <w:pPr>
        <w:widowControl/>
        <w:shd w:val="clear" w:color="auto" w:fill="FFFFFF"/>
        <w:spacing w:line="360" w:lineRule="auto"/>
        <w:jc w:val="center"/>
        <w:outlineLvl w:val="0"/>
        <w:rPr>
          <w:rFonts w:ascii="黑体" w:eastAsia="黑体" w:hAnsi="黑体" w:cs="宋体"/>
          <w:b/>
          <w:bCs/>
          <w:color w:val="000000" w:themeColor="text1"/>
          <w:kern w:val="36"/>
          <w:sz w:val="28"/>
          <w:szCs w:val="28"/>
        </w:rPr>
      </w:pPr>
      <w:bookmarkStart w:id="0" w:name="_GoBack"/>
      <w:r w:rsidRPr="00111138">
        <w:rPr>
          <w:rFonts w:ascii="黑体" w:eastAsia="黑体" w:hAnsi="黑体" w:cs="宋体" w:hint="eastAsia"/>
          <w:b/>
          <w:bCs/>
          <w:color w:val="000000" w:themeColor="text1"/>
          <w:kern w:val="36"/>
          <w:sz w:val="28"/>
          <w:szCs w:val="28"/>
        </w:rPr>
        <w:t>功率计相关政策解读：推动行业高质量发展的引擎</w:t>
      </w:r>
    </w:p>
    <w:bookmarkEnd w:id="0"/>
    <w:p w:rsidR="00111138" w:rsidRPr="00111138" w:rsidRDefault="00111138" w:rsidP="00111138">
      <w:pPr>
        <w:widowControl/>
        <w:shd w:val="clear" w:color="auto" w:fill="FFFFFF"/>
        <w:spacing w:line="360" w:lineRule="auto"/>
        <w:jc w:val="center"/>
        <w:rPr>
          <w:rFonts w:ascii="宋体" w:eastAsia="宋体" w:hAnsi="宋体" w:cs="宋体"/>
          <w:color w:val="000000" w:themeColor="text1"/>
          <w:kern w:val="0"/>
          <w:sz w:val="24"/>
          <w:szCs w:val="24"/>
        </w:rPr>
      </w:pPr>
      <w:r w:rsidRPr="00111138">
        <w:rPr>
          <w:rFonts w:ascii="宋体" w:eastAsia="宋体" w:hAnsi="宋体" w:cs="宋体"/>
          <w:color w:val="000000" w:themeColor="text1"/>
          <w:kern w:val="0"/>
          <w:sz w:val="24"/>
          <w:szCs w:val="24"/>
        </w:rPr>
        <w:t>来源：</w:t>
      </w:r>
      <w:proofErr w:type="gramStart"/>
      <w:r w:rsidRPr="00111138">
        <w:rPr>
          <w:rFonts w:ascii="宋体" w:eastAsia="宋体" w:hAnsi="宋体" w:cs="宋体"/>
          <w:color w:val="000000" w:themeColor="text1"/>
          <w:kern w:val="0"/>
          <w:sz w:val="24"/>
          <w:szCs w:val="24"/>
        </w:rPr>
        <w:t>仪商网</w:t>
      </w:r>
      <w:proofErr w:type="gramEnd"/>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111138">
        <w:rPr>
          <w:rFonts w:ascii="宋体" w:eastAsia="宋体" w:hAnsi="宋体" w:cs="宋体"/>
          <w:color w:val="000000" w:themeColor="text1"/>
          <w:kern w:val="0"/>
          <w:sz w:val="24"/>
          <w:szCs w:val="24"/>
        </w:rPr>
        <w:t>在仪器仪表领域，</w:t>
      </w:r>
      <w:hyperlink r:id="rId7" w:tgtFrame="_blank" w:history="1">
        <w:r w:rsidRPr="00111138">
          <w:rPr>
            <w:rFonts w:ascii="宋体" w:eastAsia="宋体" w:hAnsi="宋体" w:cs="宋体"/>
            <w:b/>
            <w:bCs/>
            <w:color w:val="000000" w:themeColor="text1"/>
            <w:kern w:val="0"/>
            <w:sz w:val="24"/>
            <w:szCs w:val="24"/>
          </w:rPr>
          <w:t>功率计</w:t>
        </w:r>
      </w:hyperlink>
      <w:r w:rsidRPr="00111138">
        <w:rPr>
          <w:rFonts w:ascii="宋体" w:eastAsia="宋体" w:hAnsi="宋体" w:cs="宋体"/>
          <w:color w:val="000000" w:themeColor="text1"/>
          <w:kern w:val="0"/>
          <w:sz w:val="24"/>
          <w:szCs w:val="24"/>
        </w:rPr>
        <w:t>作为精确测量电功率的关键设备，广泛应用于电子、电力、通信等诸多行业，其性能优劣直接影响到相关产业的发展。政策作为行业发展的风向标，对功率计行业的规范与进步起着至关重要的作用。</w:t>
      </w:r>
      <w:hyperlink r:id="rId8" w:tgtFrame="_blank" w:history="1">
        <w:proofErr w:type="gramStart"/>
        <w:r w:rsidRPr="00111138">
          <w:rPr>
            <w:rFonts w:ascii="宋体" w:eastAsia="宋体" w:hAnsi="宋体" w:cs="宋体"/>
            <w:b/>
            <w:bCs/>
            <w:color w:val="000000" w:themeColor="text1"/>
            <w:kern w:val="0"/>
            <w:sz w:val="24"/>
            <w:szCs w:val="24"/>
          </w:rPr>
          <w:t>仪商网</w:t>
        </w:r>
        <w:proofErr w:type="gramEnd"/>
      </w:hyperlink>
      <w:r w:rsidRPr="00111138">
        <w:rPr>
          <w:rFonts w:ascii="宋体" w:eastAsia="宋体" w:hAnsi="宋体" w:cs="宋体"/>
          <w:color w:val="000000" w:themeColor="text1"/>
          <w:kern w:val="0"/>
          <w:sz w:val="24"/>
          <w:szCs w:val="24"/>
        </w:rPr>
        <w:t>将为您深入解读功率计相关政策，助力行业从业者把握发展方向。</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w:t>
      </w:r>
      <w:r w:rsidRPr="00111138">
        <w:rPr>
          <w:rFonts w:ascii="宋体" w:eastAsia="宋体" w:hAnsi="宋体" w:cs="宋体"/>
          <w:b/>
          <w:bCs/>
          <w:color w:val="000000" w:themeColor="text1"/>
          <w:kern w:val="0"/>
          <w:sz w:val="24"/>
          <w:szCs w:val="24"/>
        </w:rPr>
        <w:t>计量政策：夯实精度根基</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111138">
        <w:rPr>
          <w:rFonts w:ascii="宋体" w:eastAsia="宋体" w:hAnsi="宋体" w:cs="宋体"/>
          <w:b/>
          <w:bCs/>
          <w:color w:val="000000" w:themeColor="text1"/>
          <w:kern w:val="0"/>
          <w:sz w:val="24"/>
          <w:szCs w:val="24"/>
        </w:rPr>
        <w:t>校准规范更新，提升测量准确性</w:t>
      </w:r>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111138">
        <w:rPr>
          <w:rFonts w:ascii="宋体" w:eastAsia="宋体" w:hAnsi="宋体" w:cs="宋体"/>
          <w:color w:val="000000" w:themeColor="text1"/>
          <w:kern w:val="0"/>
          <w:sz w:val="24"/>
          <w:szCs w:val="24"/>
        </w:rPr>
        <w:t>2023 年 12 月 30 日正式实施的 JJF2040 - 2023《功率分析仪校准规范》，为功率计校准提供了新的标准。该规范适用于电压、电流直接输入的交直流功率分析仪，相比以往标准，其电压、电流、频率范围更宽，且涉及更低功率因数，符合现代宽频功率测量需求。在电力电网、新能源等领域，高精度功率测量至关重要。新规范要求校准过程更加严格，确保功率计测量精度，保障相关设备运行稳定性与能源利用效率。例如，在新能源发电站，准确测量发电设备功率输出，依靠符合新规范校准的功率计，可有效评估发电效率，优化发电策略。</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111138">
        <w:rPr>
          <w:rFonts w:ascii="宋体" w:eastAsia="宋体" w:hAnsi="宋体" w:cs="宋体"/>
          <w:b/>
          <w:bCs/>
          <w:color w:val="000000" w:themeColor="text1"/>
          <w:kern w:val="0"/>
          <w:sz w:val="24"/>
          <w:szCs w:val="24"/>
        </w:rPr>
        <w:t>地方计量规范补充，细化行业需求</w:t>
      </w:r>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111138">
        <w:rPr>
          <w:rFonts w:ascii="宋体" w:eastAsia="宋体" w:hAnsi="宋体" w:cs="宋体"/>
          <w:color w:val="000000" w:themeColor="text1"/>
          <w:kern w:val="0"/>
          <w:sz w:val="24"/>
          <w:szCs w:val="24"/>
        </w:rPr>
        <w:t>陕西省市场监督管理局拟批准发布的《直流数字功率表校准规范》，适用于额定电压小于等于 1000V、额定电流小于等于 1000A、准确度等级在 0.05 级及以下的直流数字功率表校准，也涵盖多功能分析仪表直流功率部分校准。此规范针对新能源汽车电池性能测试、光伏 / 风力发电及充电桩等设备直流功率参数测量场景制定，细化地方行业需求，为相关产业发展提供有力计量支撑。在新能源汽车研发中，依据该规范校准的功率计，能精准测试电池充放电功率，助力提升电池性能与安全性。</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2、</w:t>
      </w:r>
      <w:r w:rsidRPr="00111138">
        <w:rPr>
          <w:rFonts w:ascii="宋体" w:eastAsia="宋体" w:hAnsi="宋体" w:cs="宋体"/>
          <w:b/>
          <w:bCs/>
          <w:color w:val="000000" w:themeColor="text1"/>
          <w:kern w:val="0"/>
          <w:sz w:val="24"/>
          <w:szCs w:val="24"/>
        </w:rPr>
        <w:t>产业发展政策：激发创新活力</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111138">
        <w:rPr>
          <w:rFonts w:ascii="宋体" w:eastAsia="宋体" w:hAnsi="宋体" w:cs="宋体"/>
          <w:b/>
          <w:bCs/>
          <w:color w:val="000000" w:themeColor="text1"/>
          <w:kern w:val="0"/>
          <w:sz w:val="24"/>
          <w:szCs w:val="24"/>
        </w:rPr>
        <w:t>鼓励研发投入，突破技术瓶颈</w:t>
      </w:r>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111138">
        <w:rPr>
          <w:rFonts w:ascii="宋体" w:eastAsia="宋体" w:hAnsi="宋体" w:cs="宋体"/>
          <w:color w:val="000000" w:themeColor="text1"/>
          <w:kern w:val="0"/>
          <w:sz w:val="24"/>
          <w:szCs w:val="24"/>
        </w:rPr>
        <w:t>市场监管总局发布的《关于计量促进仪器仪表产业高质量发展的指导意见》明确指出，到 2025 年，部分国产仪器仪表的计量性能和技术指标要达到或接近国际先进水平。这一目标为功率计行业发展指明方向，政策鼓励企业加大研发投入，攻克如宽频带、高精度测量等关键技术难题。在通信领域，随着 5G 乃至未</w:t>
      </w:r>
      <w:r w:rsidRPr="00111138">
        <w:rPr>
          <w:rFonts w:ascii="宋体" w:eastAsia="宋体" w:hAnsi="宋体" w:cs="宋体"/>
          <w:color w:val="000000" w:themeColor="text1"/>
          <w:kern w:val="0"/>
          <w:sz w:val="24"/>
          <w:szCs w:val="24"/>
        </w:rPr>
        <w:lastRenderedPageBreak/>
        <w:t>来 6G 技术发展，对射频功率计的频率范围和测量精度要求不断提高。企业在政策支持下，可联合科研机构，开展技术攻关，推动国产功率计技术升级，打破国外技术垄断，提升我国功率计在国际市场竞争力。</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111138">
        <w:rPr>
          <w:rFonts w:ascii="宋体" w:eastAsia="宋体" w:hAnsi="宋体" w:cs="宋体"/>
          <w:b/>
          <w:bCs/>
          <w:color w:val="000000" w:themeColor="text1"/>
          <w:kern w:val="0"/>
          <w:sz w:val="24"/>
          <w:szCs w:val="24"/>
        </w:rPr>
        <w:t>首台（套）政策扶持，加速成果转化</w:t>
      </w:r>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111138">
        <w:rPr>
          <w:rFonts w:ascii="宋体" w:eastAsia="宋体" w:hAnsi="宋体" w:cs="宋体"/>
          <w:color w:val="000000" w:themeColor="text1"/>
          <w:kern w:val="0"/>
          <w:sz w:val="24"/>
          <w:szCs w:val="24"/>
        </w:rPr>
        <w:t>推动国产高端仪器仪表纳入首台（套）相关目录，并发挥好首台（套）保险补偿试点政策作用，支持国产高端仪器仪表发展。对于研发出新型、高性能功率计的企业，进入首台（套）目录后，可获得政策资金支持与市场推广助力。例如，某企业研发出一款适用于航空航天领域的超高精度功率计，通过首台（套）政策，不仅能快速实现产品产业化，还能在实际应用中不断优化产品性能，加速科研成果向生产力转化，促进整个功率计行业技术迭代升级。</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3、</w:t>
      </w:r>
      <w:r w:rsidRPr="00111138">
        <w:rPr>
          <w:rFonts w:ascii="宋体" w:eastAsia="宋体" w:hAnsi="宋体" w:cs="宋体"/>
          <w:b/>
          <w:bCs/>
          <w:color w:val="000000" w:themeColor="text1"/>
          <w:kern w:val="0"/>
          <w:sz w:val="24"/>
          <w:szCs w:val="24"/>
        </w:rPr>
        <w:t>安全标准政策：筑牢质量防线</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111138">
        <w:rPr>
          <w:rFonts w:ascii="宋体" w:eastAsia="宋体" w:hAnsi="宋体" w:cs="宋体"/>
          <w:b/>
          <w:bCs/>
          <w:color w:val="000000" w:themeColor="text1"/>
          <w:kern w:val="0"/>
          <w:sz w:val="24"/>
          <w:szCs w:val="24"/>
        </w:rPr>
        <w:t>国内安全标准，保障使用安全</w:t>
      </w:r>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111138">
        <w:rPr>
          <w:rFonts w:ascii="宋体" w:eastAsia="宋体" w:hAnsi="宋体" w:cs="宋体"/>
          <w:color w:val="000000" w:themeColor="text1"/>
          <w:kern w:val="0"/>
          <w:sz w:val="24"/>
          <w:szCs w:val="24"/>
        </w:rPr>
        <w:t>在中国，单相功率分析仪等功率计产品销售和使用必须符合 GB 4793.1 标准，该标准对应 IEC 61010 系列，涵盖设备电气、机械、热、辐射及化学安全性等基本要求。制造商需确保从电路设计到外壳材料选择，每个环节都符合标准。如在电气强度测试中，设备绝缘部件要能承受高电压不击穿，保障使用者操作安全，防止因产品质量问题引发安全事故，维护市场秩序与消费者权益。</w:t>
      </w:r>
    </w:p>
    <w:p w:rsidR="00111138" w:rsidRPr="00111138" w:rsidRDefault="00111138" w:rsidP="00111138">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111138">
        <w:rPr>
          <w:rFonts w:ascii="宋体" w:eastAsia="宋体" w:hAnsi="宋体" w:cs="宋体"/>
          <w:b/>
          <w:bCs/>
          <w:color w:val="000000" w:themeColor="text1"/>
          <w:kern w:val="0"/>
          <w:sz w:val="24"/>
          <w:szCs w:val="24"/>
        </w:rPr>
        <w:t>国际安全标准接轨，拓展国际市场</w:t>
      </w:r>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111138">
        <w:rPr>
          <w:rFonts w:ascii="宋体" w:eastAsia="宋体" w:hAnsi="宋体" w:cs="宋体"/>
          <w:color w:val="000000" w:themeColor="text1"/>
          <w:kern w:val="0"/>
          <w:sz w:val="24"/>
          <w:szCs w:val="24"/>
        </w:rPr>
        <w:t>在国际市场，功率计产品需遵循 IEC 61010 系列等国际安全标准。符合这些标准是产品进入国际市场的通行证。以出口欧洲的功率计为例，只有满足相关国际安全标准，加贴 CE 标志后，才能在欧洲经济区自由销售。企业接轨国际标准，有助于提升产品质量，拓展海外市场，推动我国功率计行业国际化发展。</w:t>
      </w:r>
    </w:p>
    <w:p w:rsidR="00111138" w:rsidRPr="00111138" w:rsidRDefault="00111138" w:rsidP="0011113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111138">
        <w:rPr>
          <w:rFonts w:ascii="宋体" w:eastAsia="宋体" w:hAnsi="宋体" w:cs="宋体"/>
          <w:color w:val="000000" w:themeColor="text1"/>
          <w:kern w:val="0"/>
          <w:sz w:val="24"/>
          <w:szCs w:val="24"/>
        </w:rPr>
        <w:t>功率计相关政策从计量、产业发展到安全标准等多维度，为行业发展营造良好环境。企业紧跟政策步伐，不断提升技术水平与产品质量，将在市场竞争中赢得先机。</w:t>
      </w:r>
      <w:proofErr w:type="gramStart"/>
      <w:r w:rsidRPr="00111138">
        <w:rPr>
          <w:rFonts w:ascii="宋体" w:eastAsia="宋体" w:hAnsi="宋体" w:cs="宋体"/>
          <w:color w:val="000000" w:themeColor="text1"/>
          <w:kern w:val="0"/>
          <w:sz w:val="24"/>
          <w:szCs w:val="24"/>
        </w:rPr>
        <w:t>仪商网</w:t>
      </w:r>
      <w:proofErr w:type="gramEnd"/>
      <w:r w:rsidRPr="00111138">
        <w:rPr>
          <w:rFonts w:ascii="宋体" w:eastAsia="宋体" w:hAnsi="宋体" w:cs="宋体"/>
          <w:color w:val="000000" w:themeColor="text1"/>
          <w:kern w:val="0"/>
          <w:sz w:val="24"/>
          <w:szCs w:val="24"/>
        </w:rPr>
        <w:t>也将持续关注政策动态，为行业提供最新资讯，助力功率计行业持续健康发展。</w:t>
      </w:r>
    </w:p>
    <w:p w:rsidR="00D02623" w:rsidRPr="00111138" w:rsidRDefault="00D02623" w:rsidP="00111138">
      <w:pPr>
        <w:spacing w:line="360" w:lineRule="auto"/>
        <w:ind w:firstLineChars="200" w:firstLine="480"/>
        <w:rPr>
          <w:rFonts w:ascii="宋体" w:eastAsia="宋体" w:hAnsi="宋体"/>
          <w:color w:val="000000" w:themeColor="text1"/>
          <w:sz w:val="24"/>
          <w:szCs w:val="24"/>
        </w:rPr>
      </w:pPr>
    </w:p>
    <w:sectPr w:rsidR="00D02623" w:rsidRPr="001111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E49" w:rsidRDefault="00933E49" w:rsidP="00111138">
      <w:r>
        <w:separator/>
      </w:r>
    </w:p>
  </w:endnote>
  <w:endnote w:type="continuationSeparator" w:id="0">
    <w:p w:rsidR="00933E49" w:rsidRDefault="00933E49" w:rsidP="0011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E49" w:rsidRDefault="00933E49" w:rsidP="00111138">
      <w:r>
        <w:separator/>
      </w:r>
    </w:p>
  </w:footnote>
  <w:footnote w:type="continuationSeparator" w:id="0">
    <w:p w:rsidR="00933E49" w:rsidRDefault="00933E49" w:rsidP="00111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C76"/>
    <w:rsid w:val="000763EE"/>
    <w:rsid w:val="00111138"/>
    <w:rsid w:val="001E2470"/>
    <w:rsid w:val="00255EF1"/>
    <w:rsid w:val="0031467B"/>
    <w:rsid w:val="003C2455"/>
    <w:rsid w:val="00484D36"/>
    <w:rsid w:val="00692EAA"/>
    <w:rsid w:val="00703FE1"/>
    <w:rsid w:val="00804B5B"/>
    <w:rsid w:val="008E5C5E"/>
    <w:rsid w:val="009066AF"/>
    <w:rsid w:val="00933E49"/>
    <w:rsid w:val="00AD21A1"/>
    <w:rsid w:val="00BA3C76"/>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11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138"/>
    <w:rPr>
      <w:sz w:val="18"/>
      <w:szCs w:val="18"/>
    </w:rPr>
  </w:style>
  <w:style w:type="paragraph" w:styleId="a4">
    <w:name w:val="footer"/>
    <w:basedOn w:val="a"/>
    <w:link w:val="Char0"/>
    <w:uiPriority w:val="99"/>
    <w:unhideWhenUsed/>
    <w:rsid w:val="00111138"/>
    <w:pPr>
      <w:tabs>
        <w:tab w:val="center" w:pos="4153"/>
        <w:tab w:val="right" w:pos="8306"/>
      </w:tabs>
      <w:snapToGrid w:val="0"/>
      <w:jc w:val="left"/>
    </w:pPr>
    <w:rPr>
      <w:sz w:val="18"/>
      <w:szCs w:val="18"/>
    </w:rPr>
  </w:style>
  <w:style w:type="character" w:customStyle="1" w:styleId="Char0">
    <w:name w:val="页脚 Char"/>
    <w:basedOn w:val="a0"/>
    <w:link w:val="a4"/>
    <w:uiPriority w:val="99"/>
    <w:rsid w:val="00111138"/>
    <w:rPr>
      <w:sz w:val="18"/>
      <w:szCs w:val="18"/>
    </w:rPr>
  </w:style>
  <w:style w:type="character" w:customStyle="1" w:styleId="1Char">
    <w:name w:val="标题 1 Char"/>
    <w:basedOn w:val="a0"/>
    <w:link w:val="1"/>
    <w:uiPriority w:val="9"/>
    <w:rsid w:val="00111138"/>
    <w:rPr>
      <w:rFonts w:ascii="宋体" w:eastAsia="宋体" w:hAnsi="宋体" w:cs="宋体"/>
      <w:b/>
      <w:bCs/>
      <w:kern w:val="36"/>
      <w:sz w:val="48"/>
      <w:szCs w:val="48"/>
    </w:rPr>
  </w:style>
  <w:style w:type="character" w:styleId="a5">
    <w:name w:val="Strong"/>
    <w:basedOn w:val="a0"/>
    <w:uiPriority w:val="22"/>
    <w:qFormat/>
    <w:rsid w:val="001111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111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138"/>
    <w:rPr>
      <w:sz w:val="18"/>
      <w:szCs w:val="18"/>
    </w:rPr>
  </w:style>
  <w:style w:type="paragraph" w:styleId="a4">
    <w:name w:val="footer"/>
    <w:basedOn w:val="a"/>
    <w:link w:val="Char0"/>
    <w:uiPriority w:val="99"/>
    <w:unhideWhenUsed/>
    <w:rsid w:val="00111138"/>
    <w:pPr>
      <w:tabs>
        <w:tab w:val="center" w:pos="4153"/>
        <w:tab w:val="right" w:pos="8306"/>
      </w:tabs>
      <w:snapToGrid w:val="0"/>
      <w:jc w:val="left"/>
    </w:pPr>
    <w:rPr>
      <w:sz w:val="18"/>
      <w:szCs w:val="18"/>
    </w:rPr>
  </w:style>
  <w:style w:type="character" w:customStyle="1" w:styleId="Char0">
    <w:name w:val="页脚 Char"/>
    <w:basedOn w:val="a0"/>
    <w:link w:val="a4"/>
    <w:uiPriority w:val="99"/>
    <w:rsid w:val="00111138"/>
    <w:rPr>
      <w:sz w:val="18"/>
      <w:szCs w:val="18"/>
    </w:rPr>
  </w:style>
  <w:style w:type="character" w:customStyle="1" w:styleId="1Char">
    <w:name w:val="标题 1 Char"/>
    <w:basedOn w:val="a0"/>
    <w:link w:val="1"/>
    <w:uiPriority w:val="9"/>
    <w:rsid w:val="00111138"/>
    <w:rPr>
      <w:rFonts w:ascii="宋体" w:eastAsia="宋体" w:hAnsi="宋体" w:cs="宋体"/>
      <w:b/>
      <w:bCs/>
      <w:kern w:val="36"/>
      <w:sz w:val="48"/>
      <w:szCs w:val="48"/>
    </w:rPr>
  </w:style>
  <w:style w:type="character" w:styleId="a5">
    <w:name w:val="Strong"/>
    <w:basedOn w:val="a0"/>
    <w:uiPriority w:val="22"/>
    <w:qFormat/>
    <w:rsid w:val="00111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057149">
      <w:bodyDiv w:val="1"/>
      <w:marLeft w:val="0"/>
      <w:marRight w:val="0"/>
      <w:marTop w:val="0"/>
      <w:marBottom w:val="0"/>
      <w:divBdr>
        <w:top w:val="none" w:sz="0" w:space="0" w:color="auto"/>
        <w:left w:val="none" w:sz="0" w:space="0" w:color="auto"/>
        <w:bottom w:val="none" w:sz="0" w:space="0" w:color="auto"/>
        <w:right w:val="none" w:sz="0" w:space="0" w:color="auto"/>
      </w:divBdr>
      <w:divsChild>
        <w:div w:id="821383706">
          <w:marLeft w:val="0"/>
          <w:marRight w:val="0"/>
          <w:marTop w:val="165"/>
          <w:marBottom w:val="0"/>
          <w:divBdr>
            <w:top w:val="none" w:sz="0" w:space="0" w:color="auto"/>
            <w:left w:val="none" w:sz="0" w:space="0" w:color="auto"/>
            <w:bottom w:val="none" w:sz="0" w:space="0" w:color="auto"/>
            <w:right w:val="none" w:sz="0" w:space="0" w:color="auto"/>
          </w:divBdr>
        </w:div>
        <w:div w:id="36205860">
          <w:marLeft w:val="0"/>
          <w:marRight w:val="0"/>
          <w:marTop w:val="0"/>
          <w:marBottom w:val="0"/>
          <w:divBdr>
            <w:top w:val="none" w:sz="0" w:space="0" w:color="auto"/>
            <w:left w:val="none" w:sz="0" w:space="0" w:color="auto"/>
            <w:bottom w:val="none" w:sz="0" w:space="0" w:color="auto"/>
            <w:right w:val="none" w:sz="0" w:space="0" w:color="auto"/>
          </w:divBdr>
          <w:divsChild>
            <w:div w:id="979385718">
              <w:marLeft w:val="0"/>
              <w:marRight w:val="0"/>
              <w:marTop w:val="0"/>
              <w:marBottom w:val="0"/>
              <w:divBdr>
                <w:top w:val="none" w:sz="0" w:space="0" w:color="auto"/>
                <w:left w:val="none" w:sz="0" w:space="0" w:color="auto"/>
                <w:bottom w:val="none" w:sz="0" w:space="0" w:color="auto"/>
                <w:right w:val="none" w:sz="0" w:space="0" w:color="auto"/>
              </w:divBdr>
              <w:divsChild>
                <w:div w:id="14738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8148">
          <w:marLeft w:val="0"/>
          <w:marRight w:val="0"/>
          <w:marTop w:val="0"/>
          <w:marBottom w:val="0"/>
          <w:divBdr>
            <w:top w:val="none" w:sz="0" w:space="0" w:color="auto"/>
            <w:left w:val="none" w:sz="0" w:space="0" w:color="auto"/>
            <w:bottom w:val="none" w:sz="0" w:space="0" w:color="auto"/>
            <w:right w:val="none" w:sz="0" w:space="0" w:color="auto"/>
          </w:divBdr>
          <w:divsChild>
            <w:div w:id="159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61718.com/" TargetMode="External"/><Relationship Id="rId3" Type="http://schemas.openxmlformats.org/officeDocument/2006/relationships/settings" Target="settings.xml"/><Relationship Id="rId7" Type="http://schemas.openxmlformats.org/officeDocument/2006/relationships/hyperlink" Target="https://www.yishang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1502</Characters>
  <Application>Microsoft Office Word</Application>
  <DocSecurity>0</DocSecurity>
  <Lines>12</Lines>
  <Paragraphs>3</Paragraphs>
  <ScaleCrop>false</ScaleCrop>
  <Company>Organization</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2025-06-11T00:38:00Z</dcterms:created>
  <dcterms:modified xsi:type="dcterms:W3CDTF">2025-06-11T00:41:00Z</dcterms:modified>
</cp:coreProperties>
</file>