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3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0"/>
        <w:rPr>
          <w:rFonts w:hint="eastAsia" w:ascii="华文行楷" w:hAnsi="华文行楷" w:eastAsia="华文行楷" w:cs="华文行楷"/>
          <w:b w:val="0"/>
          <w:bCs/>
          <w:color w:val="auto"/>
          <w:sz w:val="32"/>
          <w:szCs w:val="32"/>
        </w:rPr>
      </w:pPr>
      <w:bookmarkStart w:id="0" w:name="heading_0"/>
      <w:r>
        <w:rPr>
          <w:rFonts w:hint="eastAsia" w:ascii="华文行楷" w:hAnsi="华文行楷" w:eastAsia="华文行楷" w:cs="华文行楷"/>
          <w:b w:val="0"/>
          <w:bCs/>
          <w:color w:val="auto"/>
          <w:sz w:val="32"/>
          <w:szCs w:val="32"/>
        </w:rPr>
        <w:t>中国电子仪器行业协会</w:t>
      </w:r>
    </w:p>
    <w:p w14:paraId="24EB1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科技成果评价收费标准</w:t>
      </w:r>
      <w:bookmarkEnd w:id="0"/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试行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）</w:t>
      </w:r>
    </w:p>
    <w:p w14:paraId="0AEB3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bookmarkStart w:id="1" w:name="heading_1"/>
    </w:p>
    <w:p w14:paraId="38A3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一、收费依据与原则</w:t>
      </w:r>
      <w:bookmarkEnd w:id="1"/>
    </w:p>
    <w:p w14:paraId="24B78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1.合规依据：本收费标准依据《中华人民共和国科学技术进步法》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《行业协会商会收费行为合规指南》及工信部《关于完善工业和信息化领域科技成果评价机制的实施方案（试行）》制定，属经营服务性收费，无强制统一标准，遵循自愿签约、明码标价原则。</w:t>
      </w:r>
    </w:p>
    <w:p w14:paraId="09B47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2.定价原则：以服务成本为核心，结合电子仪器成果技术复杂度、评价周期等因素，实行会员差异化定价，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标准经协会理事会审议通过。</w:t>
      </w:r>
    </w:p>
    <w:p w14:paraId="6CE7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3.禁止条款：严禁借成果评价强制或变相强制收费、强制企业入会、赞助或购买产品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不得变相开展评比达标表彰并收费。</w:t>
      </w:r>
    </w:p>
    <w:p w14:paraId="0D2B0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2" w:name="heading_2"/>
      <w:r>
        <w:rPr>
          <w:rFonts w:hint="eastAsia" w:ascii="黑体" w:hAnsi="黑体" w:eastAsia="黑体" w:cs="黑体"/>
          <w:b/>
          <w:sz w:val="28"/>
          <w:szCs w:val="28"/>
        </w:rPr>
        <w:t>二、分类型收费标准（单位：人民币/项）</w:t>
      </w:r>
      <w:bookmarkEnd w:id="2"/>
    </w:p>
    <w:tbl>
      <w:tblPr>
        <w:tblStyle w:val="3"/>
        <w:tblW w:w="10660" w:type="dxa"/>
        <w:tblInd w:w="-1062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85"/>
        <w:gridCol w:w="3170"/>
        <w:gridCol w:w="1250"/>
        <w:gridCol w:w="1245"/>
        <w:gridCol w:w="2210"/>
      </w:tblGrid>
      <w:tr w14:paraId="6E1755E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7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成果类型</w:t>
            </w:r>
          </w:p>
        </w:tc>
        <w:tc>
          <w:tcPr>
            <w:tcW w:w="3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E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核心服务内容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C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会员价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F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非会员价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8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</w:tr>
      <w:tr w14:paraId="6EB8E12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6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通用电子仪器成果（基础示波器、万用表、普通测试模块等）</w:t>
            </w:r>
          </w:p>
        </w:tc>
        <w:tc>
          <w:tcPr>
            <w:tcW w:w="3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7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5人（副高及以上）专家评审、材料审核、评价报告出具、基础会务组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官网公示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A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.5万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元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4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8万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元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7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不含第三方检测费、专家及工作人员差旅费</w:t>
            </w:r>
          </w:p>
        </w:tc>
      </w:tr>
      <w:tr w14:paraId="6257CA1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4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复杂电子仪器成果（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微波/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射频测试仪器、半导体检测设备、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系统等）</w:t>
            </w:r>
          </w:p>
        </w:tc>
        <w:tc>
          <w:tcPr>
            <w:tcW w:w="3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B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7人（正高为主）专家评审、材料审核、评价报告出具、基础会务组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官网公示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1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元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A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5万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元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3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不含第三方检测费、专家及工作人员差旅费</w:t>
            </w:r>
          </w:p>
        </w:tc>
      </w:tr>
      <w:tr w14:paraId="4ED3D8C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8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电子仪器技术方案/软件成果（测试算法、控制软件、系统固件等）</w:t>
            </w:r>
          </w:p>
        </w:tc>
        <w:tc>
          <w:tcPr>
            <w:tcW w:w="3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0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5人专家评审、代码核查、功能验证、评价报告出具、基础会务组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官网公示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7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元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9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.5万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元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1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适合无硬件实体的技术成果；需委托方提供完整测试环境及演示素材</w:t>
            </w:r>
          </w:p>
        </w:tc>
      </w:tr>
      <w:tr w14:paraId="57C318E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5" w:hRule="atLeast"/>
        </w:trPr>
        <w:tc>
          <w:tcPr>
            <w:tcW w:w="27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7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其他（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检验检测、自动控制等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领域产业链上下游成果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1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根据成果类型，参考上述服务内容提供服务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5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1.2--2.0万元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E4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1.5--2.5万元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5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根据成果类型，参考上述内容</w:t>
            </w:r>
          </w:p>
        </w:tc>
      </w:tr>
    </w:tbl>
    <w:p w14:paraId="2905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bookmarkStart w:id="3" w:name="heading_3"/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三、费用浮动规则与明细</w:t>
      </w:r>
      <w:bookmarkEnd w:id="3"/>
    </w:p>
    <w:p w14:paraId="74FE5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bookmarkStart w:id="4" w:name="heading_5"/>
      <w:r>
        <w:rPr>
          <w:rFonts w:hint="eastAsia" w:ascii="黑体" w:hAnsi="黑体" w:eastAsia="黑体" w:cs="黑体"/>
          <w:b/>
          <w:color w:val="auto"/>
          <w:sz w:val="28"/>
          <w:szCs w:val="28"/>
        </w:rPr>
        <w:t>（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）会员差异化折扣</w:t>
      </w:r>
      <w:bookmarkEnd w:id="4"/>
    </w:p>
    <w:p w14:paraId="18AB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会员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：享基础价8.5折优惠；</w:t>
      </w:r>
    </w:p>
    <w:p w14:paraId="220E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长期合作：同一单位年度评价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达到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3项，对应折扣基础上额外享9折优惠。</w:t>
      </w:r>
    </w:p>
    <w:p w14:paraId="03D28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bookmarkStart w:id="5" w:name="heading_6"/>
      <w:r>
        <w:rPr>
          <w:rFonts w:hint="eastAsia" w:ascii="黑体" w:hAnsi="黑体" w:eastAsia="黑体" w:cs="黑体"/>
          <w:b/>
          <w:color w:val="auto"/>
          <w:sz w:val="28"/>
          <w:szCs w:val="28"/>
        </w:rPr>
        <w:t>（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）费用明细构成</w:t>
      </w:r>
      <w:bookmarkEnd w:id="5"/>
    </w:p>
    <w:p w14:paraId="2C4E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  固定成本：材料审核（2,000-3,000元）、专家评审费（1,000-1,500元/人·项）、会务与场租（3,000-5,000元）、报告编制与公示（2,000-3,000元）；</w:t>
      </w:r>
    </w:p>
    <w:p w14:paraId="59B3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  浮动成本：超出协会住所地北京的异地现场服务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异地差旅费按实际发生额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由乙方支付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。</w:t>
      </w:r>
    </w:p>
    <w:p w14:paraId="5D192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bookmarkStart w:id="6" w:name="heading_7"/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四、收费流程与公示监督</w:t>
      </w:r>
      <w:bookmarkEnd w:id="6"/>
    </w:p>
    <w:p w14:paraId="0634734C">
      <w:pPr>
        <w:keepNext w:val="0"/>
        <w:keepLines w:val="0"/>
        <w:pageBreakBefore w:val="0"/>
        <w:widowControl w:val="0"/>
        <w:tabs>
          <w:tab w:val="left" w:pos="55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</w:pPr>
      <w:bookmarkStart w:id="7" w:name="heading_8"/>
      <w:r>
        <w:rPr>
          <w:rFonts w:hint="eastAsia" w:ascii="黑体" w:hAnsi="黑体" w:eastAsia="黑体" w:cs="黑体"/>
          <w:b/>
          <w:color w:val="auto"/>
          <w:sz w:val="28"/>
          <w:szCs w:val="28"/>
        </w:rPr>
        <w:t>（一）收费流程</w:t>
      </w:r>
      <w:bookmarkEnd w:id="7"/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ab/>
      </w:r>
    </w:p>
    <w:p w14:paraId="71B3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委托方提交评价申请及相关材料；</w:t>
      </w:r>
    </w:p>
    <w:p w14:paraId="0A24E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协会审核通过后，双方签订《科技成果评价服务合同》；</w:t>
      </w:r>
    </w:p>
    <w:p w14:paraId="38AC0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委托方支付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款；</w:t>
      </w:r>
    </w:p>
    <w:p w14:paraId="0DFE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协会组织开展评价工作，出具评价报告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。</w:t>
      </w:r>
    </w:p>
    <w:p w14:paraId="5E39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bookmarkStart w:id="8" w:name="heading_9"/>
      <w:r>
        <w:rPr>
          <w:rFonts w:hint="eastAsia" w:ascii="黑体" w:hAnsi="黑体" w:eastAsia="黑体" w:cs="黑体"/>
          <w:b/>
          <w:color w:val="auto"/>
          <w:sz w:val="28"/>
          <w:szCs w:val="28"/>
        </w:rPr>
        <w:t>（二）公示与监督</w:t>
      </w:r>
      <w:bookmarkEnd w:id="8"/>
    </w:p>
    <w:p w14:paraId="7B77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本标准公示期为7个工作日，公示期间接受咨询与投诉。</w:t>
      </w:r>
    </w:p>
    <w:p w14:paraId="1ADE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010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-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88928315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；投诉电话：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010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-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68872172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；公示平台：中国电子仪器行业协会官网（www.ceia.org.cn）。</w:t>
      </w:r>
    </w:p>
    <w:p w14:paraId="46C14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bookmarkStart w:id="9" w:name="heading_10"/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五、附则</w:t>
      </w:r>
      <w:bookmarkEnd w:id="9"/>
    </w:p>
    <w:p w14:paraId="64350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1.本标准自公示期满无异议后正式生效。</w:t>
      </w:r>
    </w:p>
    <w:p w14:paraId="2B4F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2.评价服务法律责任由中国电子仪器行业协会承担，所有收支纳入协会统一核算，开具增值税普通发票，留存凭证备查。</w:t>
      </w:r>
    </w:p>
    <w:p w14:paraId="400AD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3.本标准由中国电子仪器行业协会负责解释，未尽事宜由双方协商补充。</w:t>
      </w:r>
    </w:p>
    <w:p w14:paraId="4934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09D5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34657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760" w:firstLineChars="240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中国电子仪器行业协会  </w:t>
      </w:r>
    </w:p>
    <w:p w14:paraId="5A8A8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0" w:firstLineChars="250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bookmarkStart w:id="10" w:name="_GoBack"/>
      <w:bookmarkEnd w:id="1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2026年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日</w:t>
      </w:r>
    </w:p>
    <w:p w14:paraId="786BF2F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sectPr>
      <w:footerReference r:id="rId3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6C591"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6D731A0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E2953A6"/>
    <w:rsid w:val="17D057B6"/>
    <w:rsid w:val="210C7C53"/>
    <w:rsid w:val="26667E05"/>
    <w:rsid w:val="2C4E7372"/>
    <w:rsid w:val="2F4F1790"/>
    <w:rsid w:val="314D5E4A"/>
    <w:rsid w:val="3A390B28"/>
    <w:rsid w:val="429C544F"/>
    <w:rsid w:val="438A5AA2"/>
    <w:rsid w:val="58A730DD"/>
    <w:rsid w:val="5B3B6725"/>
    <w:rsid w:val="5E144244"/>
    <w:rsid w:val="6DB20259"/>
    <w:rsid w:val="721A7837"/>
    <w:rsid w:val="7ED24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1087</Words>
  <Characters>1206</Characters>
  <TotalTime>49</TotalTime>
  <ScaleCrop>false</ScaleCrop>
  <LinksUpToDate>false</LinksUpToDate>
  <CharactersWithSpaces>1213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2026-01-16T07:39:00Z</dcterms:created>
  <dc:creator>Apache POI</dc:creator>
  <cp:lastModifiedBy>方荣</cp:lastModifiedBy>
  <dcterms:modified xsi:type="dcterms:W3CDTF">2026-02-03T08:18:39Z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eyJoZGlkIjoiMjQxZjYzNjEyNzNhODkwZmM5Y2VjMjFiOGE1MzQxMjgiLCJ1c2VySWQiOiI0Mjg3NjE3NTYifQ==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08B2F11854AF4BF39B294714D5C74F02_12</vt:lpwstr>
  </property>
</Properties>
</file>