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97" w:rsidRPr="00101497" w:rsidRDefault="00101497" w:rsidP="00101497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101497">
        <w:rPr>
          <w:rFonts w:ascii="黑体" w:eastAsia="黑体" w:hAnsi="黑体" w:hint="eastAsia"/>
          <w:b/>
          <w:color w:val="000000" w:themeColor="text1"/>
          <w:sz w:val="28"/>
          <w:szCs w:val="28"/>
        </w:rPr>
        <w:t>消费“挖潜” 发展“提速”</w:t>
      </w:r>
    </w:p>
    <w:p w:rsidR="00101497" w:rsidRPr="00101497" w:rsidRDefault="00101497" w:rsidP="00101497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101497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作者：卢梦琪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“两新”政策从“加力扩围”到“提质增效”，人工智能等新技术新模式创新应用从概念走向深度融合与场景落地，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文旅消费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更有温度、银发经济更有尊严、绿色消费更有动力……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从消费端挖掘有效需求，是扩大内需、做大做强国内大循环的重中之重。通过创新供给激活消费潜能，以数字化赋能传统业态，培育新型消费增长点，精准对接并引领人民群众对高品质生活的向往，正不断锤炼更强劲更富韧性的内需引擎，为经济转型升级注入持久动力。</w:t>
      </w:r>
    </w:p>
    <w:p w:rsidR="00101497" w:rsidRPr="00101497" w:rsidRDefault="00101497" w:rsidP="0010149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b/>
          <w:color w:val="000000" w:themeColor="text1"/>
          <w:sz w:val="24"/>
          <w:szCs w:val="24"/>
        </w:rPr>
        <w:t>持续放大“两新”政策效能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中央经济工作会议在部署2026年经济工作时，将扩大内需置于经济发展首位，明确“坚持内需主导，建设强大国内市场”。这其中消费是重中之重。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2025年，“两新”政策“加力扩围”，政策实施成效显著，特别是以旧换新对我国消费发挥了很大的带动作用。数据显示，2025年，有超过3.6亿人次申领消费品以旧换新补贴，带动相关商品销售额超过2.6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元，直接拉动社会消费品零售总额增长0.6个百分点。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2026年，国家发展改革委、财政部印发的《关于2026年实施大规模设备更新和消费品以旧换新政策的通知》（以下简称《通知》）明确，2026年“两新”政策在支持范围、补贴标准、实施机制等方面持续优化。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消费品以旧换新支持范围不断扩大。《通知》提出进一步集中资源，着力提升覆盖人群广、带动效应强的重点消费品“得补率”。继续实施汽车报废更新和汽车置换更新补贴；继续实施家电以旧换新补贴，支持范围聚焦冰箱、洗衣机、电视、空调、电脑、热水器等6类产品；同时，将数码产品购新补贴拓展为数码和智能产品购新补贴，支持范围包括手机、平板电脑、智能手表（手环）、智能眼镜和智能家居产品（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含适老化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家居产品）。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在优化补贴标准方面，在保持汽车补贴上限不变的基础上，将定额补贴调整为按车价比例进行补贴；家电以旧换新调整为补贴1级能效或水效产品，补贴产品售价的15%，单件补贴上限为1500元；数码和智能产品的补贴标准保持此前数码产品标准不变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在优化实施机制方面，优化资金分配方式，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完善全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链条实施细则，严厉打击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骗补套补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和“先涨后补”等违法违规行为。同时，落实全国统一大市场建设要求，对汽车报废更新、汽车置换更新、6类家电以旧换新、4类数码和智能产品购新，明确在全国范围内执行统一的补贴标准。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国务院发展研究中心市场经济研究所副所长魏际刚表示，2026年“两新”政策有两方面变化，一是政策支持范围体现了“消费提质”的鲜明导向，在家电领域“做减法”，在数码领域“做加法”，降低新型智能终端的渗透门槛；二是补贴标准从“定额补贴”转向“精准化、差异化设计”，比如汽车调整为按车价比例补贴，实现了“价高补多、价低补少”的精准支持，增强了政策的科学性与公平性。“‘两新’政策不仅将延续对扩大内需的支撑作用，更将在推动绿色转型、建设全国统一大市场等方面产生深远影响。”魏际刚表示。</w:t>
      </w:r>
    </w:p>
    <w:p w:rsidR="00101497" w:rsidRPr="00101497" w:rsidRDefault="00101497" w:rsidP="0010149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b/>
          <w:color w:val="000000" w:themeColor="text1"/>
          <w:sz w:val="24"/>
          <w:szCs w:val="24"/>
        </w:rPr>
        <w:t>加快新技术新模式创新应用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自2025年以来，在政策支持、市场需求和技术进步的共同推动下，我国人工智能产业蓬勃发展，数百款AI终端新品密集发布。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宇树科技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人形机器人惊艳春晚，长虹发布首款治愈系AI TV，海尔推出搭载“AI之眼”智能感知系统的AI家电矩阵，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联想秀出全球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首款卷轴屏AI PC，小米亮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出首款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AI眼镜，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科大讯飞录音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笔和翻译机AI能力大升级，阿里巴巴首款AI眼镜开启预售，华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为发布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搭载鸿蒙AI的Mate 80手机，“豆包”手机引发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热议……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这些产品不再靠“黑科技”标签吸引尝鲜者，而是以“实用体验”赢得市场认可，不断释放多样化、差异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化消费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潜力，成为经济增长新亮点。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挖潜扩大有效需求，需要加强供需适配，扩大优质商品和服务供给。2025年11月，工业和信息化部等多部门发布《关于增强消费品供需适配性进一步促进消费的实施方案》（以下简称《实施方案》），鼓励开发家庭服务机器人、智能家电和人工智能手机、电脑、玩具、眼镜、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脑机接口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等人工智能终端，以智能产品为载体提供娱乐、健康、陪护等生活服务。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国家信息中心大数据发展部人工智能处副处长易成岐表示，强化人工智能融合赋能，从供给侧看，一是要持续强化技术供给，进一步提升人工智能的情感认知力、自主决策力、逻辑推理力、行动协作力、创造涌现力和超长记忆力。二是要丰富产品和服务供给，推动人工智能与低空飞行、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增材制造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脑机接口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等前沿技术深度融合，推动智能终端产品不断推陈出新。同时，也要充分发挥人工智能个性化和情感化的独特作用，丰富拓展个性消费、认知消费、情感消费等新型服务消费方式。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在中国企业管理研究会副理事长赵永辉看来，未来“人工智能+消费”将呈现三大趋势：一是消费全链条智能化，AI将全面嵌入设计、生产、流通、营销和服务环节，实现需求预测更精准、供给响应更高效；二是个性化与柔性化成为主流，基于AI的柔性制造和智能供应链将推动大规模定制走向商业化常态，消费者需求将更快速地转化为产品方案；三是场景融合不断深化，AI将推动线上线下深度融合，沉浸式、体验式、智能化的消费场景加速扩展，消费金融、数字服务等衍生业态同步壮大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伴随数字技术的不断涌现，技术本身即成为消费的热点领域。未来一段时期，虚拟现实、数字孪生、6G、人形机器人等数字化的核心技术将孕育更为广阔的市场空间。</w:t>
      </w:r>
    </w:p>
    <w:p w:rsidR="00101497" w:rsidRPr="00101497" w:rsidRDefault="00101497" w:rsidP="00101497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b/>
          <w:color w:val="000000" w:themeColor="text1"/>
          <w:sz w:val="24"/>
          <w:szCs w:val="24"/>
        </w:rPr>
        <w:t>开拓新型消费催生新机遇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近年来，我国消费市场繁荣兴旺，离不开“文旅有温度、银发有尊严、绿色有动力”的消费新模式新场景不断创新融合。新型消费，一方面成为激活内需潜能、培育经济增长新动能的关键抓手，另一方面在技术赋能、场景融合与需求深挖中获得了广阔发展空间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文旅融合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点燃消费新活力。2025年，我国文艺创作与表演销售收入同比增长17.3%，沉浸式、场景式业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态创新推动文旅消费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提质升级。以游戏、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动漫等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为代表的数字文化消费展现出较大潜力，数字文化服务销售收入同比增长16.6%。2026年，我国文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旅消费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将积极推广“文旅+科技”，打造“云游景区”“虚拟演艺”“数字文物展”等线上产品，同时线下落地“沉浸式剧本杀景区”“光影秀主题公园”等，让“文旅+”深度融合进一步发展释放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文旅消费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乘数效应。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中国文化产业协会沉浸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式文旅产业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专业委员会主任委员卜希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霆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表示，当前文化和旅游领域体现出“政策赋能、科技加持、场景落地、消费下沉、业态提质”五大核心特点，未来文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旅发展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需聚焦科技与文化深度融合、全域场景价值挖掘、数据要素价值释放。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当前，中国60岁以上人口将突破3亿，在“生存型养老”转向“品质型享老”的过程中，银发消费需求上升，智能监测设备、旅居养老等健康服务类消费规模正在不断拓展。2025年，老年人养护消费同比增长24.9%。《实施方案》明确指出，优化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适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老化产品供给。加强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适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老化产品研发设计，重点开发应用养老服务机器人、多功能护理床、健康监测设备等急需产品开展优质老年用品惠老助企行动，推进居家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适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老化改造，发布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适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老化产品和服务推广目录，鼓励电商平台、商超等设立银发消费版面或专区。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中国老龄产业协会专职驻会副秘书长王永春表示，发展银发经济，要优先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围绕康养旅游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、老年文体、智慧健康等形成可供给、可复制的产品与服务，依托基本养老服务网络，把“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医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养+文旅”“适老化改造+家居消费”等业态更紧密地嵌入社区与家庭生活场景。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随着“双碳”目标关键期的到来，开展绿色消费成为顺应消费升级趋势、培育消费新增长点的有力举措。数据显示，2024年至2025年我国实现汽车以旧换新1830万辆，其中新能源汽车占比近60%。实现家电以旧换新1.92亿台，其中一级能效（水效）占比达到了90%以上。《实施方案》指出，要促进绿色产品扩容迭代，适应绿色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化低碳化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消费趋势，提高消费品能效、水效限定值标准；鼓励新能源汽车、高能效家电、绿色建材家装等领域绿色低碳消费；制定智能家居互联互通国家标准，支持骨干企业联合开发全屋智能化绿色</w:t>
      </w:r>
      <w:proofErr w:type="gramStart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化解决</w:t>
      </w:r>
      <w:proofErr w:type="gramEnd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方案。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中国社会科学院数量经济与技术经济研究所研究员周勇表示，绿色低碳生活方式具体表现为低碳出行、节约资源、绿色选购、循环利用等一系列行为模式，这需要一套由政府主导、市场协同、社会参与的复合型规则体系，涵盖经济、市场、法治和社会激励等方面，形成推广绿色低碳生活方式的“组合拳”。</w:t>
      </w:r>
    </w:p>
    <w:p w:rsidR="00101497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这些由需求迭代与供给创新共振催生的新形态，不仅激活了市场潜力，更推动制造业向“按需智造”跃迁、服务业向“体验增值”深耕，更为经济高质量发展注入“需求牵引供给、供给创造需求”的强劲动能。</w:t>
      </w:r>
    </w:p>
    <w:p w:rsidR="00D02623" w:rsidRPr="00101497" w:rsidRDefault="00101497" w:rsidP="0010149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  <w:r w:rsidRPr="00101497">
        <w:rPr>
          <w:rFonts w:ascii="宋体" w:eastAsia="宋体" w:hAnsi="宋体" w:hint="eastAsia"/>
          <w:color w:val="000000" w:themeColor="text1"/>
          <w:sz w:val="24"/>
          <w:szCs w:val="24"/>
        </w:rPr>
        <w:t>业内人士表示，拓展新型消费，还需在供给端加快新一代信息技术基础设施建设步伐，推进新型城市基础设施建设，优化数字技术应用基础环境；加快建设数字化社区，提升社区数字化管理水平；加快新技术新装备应用，推进数字技术等在医疗、教育、养老、旅游等领域应用。</w:t>
      </w:r>
    </w:p>
    <w:sectPr w:rsidR="00D02623" w:rsidRPr="0010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92"/>
    <w:rsid w:val="000763EE"/>
    <w:rsid w:val="00101497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B41B92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3037</Characters>
  <Application>Microsoft Office Word</Application>
  <DocSecurity>0</DocSecurity>
  <Lines>25</Lines>
  <Paragraphs>7</Paragraphs>
  <ScaleCrop>false</ScaleCrop>
  <Company>Organization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2026-02-09T08:17:00Z</dcterms:created>
  <dcterms:modified xsi:type="dcterms:W3CDTF">2026-02-09T08:19:00Z</dcterms:modified>
</cp:coreProperties>
</file>