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adjustRightInd/>
        <w:snapToGrid w:val="0"/>
        <w:spacing w:line="360" w:lineRule="auto"/>
        <w:contextualSpacing w:val="0"/>
        <w:jc w:val="center"/>
        <w:rPr>
          <w:color w:val="000000"/>
          <w:sz w:val="42"/>
          <w:szCs w:val="42"/>
        </w:rPr>
      </w:pPr>
      <w:r>
        <w:rPr>
          <w:color w:val="000000"/>
          <w:sz w:val="44"/>
          <w:szCs w:val="44"/>
        </w:rPr>
        <w:t>500 亿市场！光模块检测黄金赛道</w:t>
      </w:r>
    </w:p>
    <w:p>
      <w:pPr>
        <w:pStyle w:val="2"/>
        <w:spacing w:line="360" w:lineRule="auto"/>
        <w:jc w:val="center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z w:val="42"/>
          <w:szCs w:val="42"/>
        </w:rPr>
        <w:t xml:space="preserve">来源：微笑to向暖 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AI算力高速扩张带动光模块需求持续高景气，上游光模块检测设备作为扩产刚需环节，市场空间、国产化空间、业绩弹性均迎来多重利好，成为当前设备端重点布局方向。</w:t>
      </w:r>
    </w:p>
    <w:p>
      <w:pPr>
        <w:pStyle w:val="2"/>
        <w:spacing w:line="360" w:lineRule="auto"/>
        <w:rPr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</w:t>
      </w:r>
      <w:r>
        <w:rPr>
          <w:color w:val="000000"/>
          <w:spacing w:val="0"/>
          <w:sz w:val="42"/>
          <w:szCs w:val="42"/>
        </w:rPr>
        <w:t xml:space="preserve"> 一、赛道核心逻辑：空间大、壁垒高、价值量提升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市场空间广阔光模块下游高景气，设备端扩产加速，测算2027年整体市场空间约500亿元，其中测试环节占比约30%，是设备端核心增量。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国产替代空间巨大2024年光模块检测国产化率仅**16%**，进口替代空间充足。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行业壁垒高、盈利能力强行业毛利率普遍在50%–70%+；同时测试仪器向高速率、大带宽升级，产品价值量持续提升。</w:t>
      </w:r>
    </w:p>
    <w:p>
      <w:pPr>
        <w:pStyle w:val="2"/>
        <w:spacing w:line="360" w:lineRule="auto"/>
        <w:rPr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</w:t>
      </w:r>
      <w:r>
        <w:rPr>
          <w:color w:val="000000"/>
          <w:spacing w:val="0"/>
          <w:sz w:val="42"/>
          <w:szCs w:val="42"/>
        </w:rPr>
        <w:t>二、核心受益标的梳理</w:t>
      </w:r>
    </w:p>
    <w:p>
      <w:pPr>
        <w:pStyle w:val="2"/>
        <w:spacing w:line="360" w:lineRule="auto"/>
        <w:rPr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</w:t>
      </w:r>
      <w:r>
        <w:rPr>
          <w:color w:val="000000"/>
          <w:spacing w:val="0"/>
          <w:sz w:val="42"/>
          <w:szCs w:val="42"/>
        </w:rPr>
        <w:t xml:space="preserve"> 1. 鼎阳科技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26Q1收入1.6亿元，同比+23%；**光通信相关电源收入同比+166.16%**，供货多个头部客户。 1.6T/3.2T采样示波器在研，误码仪、频谱仪推进预研，光芯片源表已量产。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</w:t>
      </w:r>
      <w:r>
        <w:rPr>
          <w:color w:val="000000"/>
          <w:spacing w:val="0"/>
          <w:sz w:val="42"/>
          <w:szCs w:val="42"/>
        </w:rPr>
        <w:t xml:space="preserve">  2. 普源精电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26Q1收入同比+38%，利润同比+512%；**光通信核心大客户收入同比+147.71%**，业绩弹性显著。</w:t>
      </w:r>
    </w:p>
    <w:p>
      <w:pPr>
        <w:pStyle w:val="2"/>
        <w:spacing w:line="360" w:lineRule="auto"/>
        <w:rPr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</w:t>
      </w:r>
      <w:r>
        <w:rPr>
          <w:color w:val="000000"/>
          <w:spacing w:val="0"/>
          <w:sz w:val="42"/>
          <w:szCs w:val="42"/>
        </w:rPr>
        <w:t>3. 联讯仪器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全球第二家推出1.6T光模块全套测试设备企业，覆盖65GHz采样示波器、120GBaud时钟恢复单元、1.6Tbps误码分析仪，同时布局光芯片测试设备。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</w:t>
      </w:r>
      <w:r>
        <w:rPr>
          <w:color w:val="000000"/>
          <w:spacing w:val="0"/>
          <w:sz w:val="42"/>
          <w:szCs w:val="42"/>
        </w:rPr>
        <w:t xml:space="preserve"> 4. 华盛昌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4.6亿元收购伽蓝特，伽蓝特主营光通信模块、光芯片测试；业绩承诺2026–2028年累计利润不低于1.15亿元。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</w:t>
      </w:r>
      <w:r>
        <w:rPr>
          <w:color w:val="000000"/>
          <w:spacing w:val="0"/>
          <w:sz w:val="42"/>
          <w:szCs w:val="42"/>
        </w:rPr>
        <w:t>5. 优利德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0.86亿元收购信测通信51%股权，布局光电测量仪表、光时域反射仪等。</w:t>
      </w:r>
    </w:p>
    <w:p>
      <w:pPr>
        <w:pStyle w:val="2"/>
        <w:spacing w:line="360" w:lineRule="auto"/>
        <w:rPr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</w:t>
      </w:r>
      <w:r>
        <w:rPr>
          <w:color w:val="000000"/>
          <w:spacing w:val="0"/>
          <w:sz w:val="42"/>
          <w:szCs w:val="42"/>
        </w:rPr>
        <w:t xml:space="preserve">  6. 华兴源创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2亿元收购普赛斯39%股权（合计持股51%），布局光电半导体、功率半导体测试仪器。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  <w:r>
        <w:rPr>
          <w:b w:val="0"/>
          <w:bCs w:val="0"/>
          <w:color w:val="000000"/>
          <w:spacing w:val="0"/>
          <w:sz w:val="42"/>
          <w:szCs w:val="42"/>
        </w:rPr>
        <w:t xml:space="preserve">    数据来源：行业调研、公司财报及公开资料整理</w:t>
      </w:r>
    </w:p>
    <w:p>
      <w:pPr>
        <w:pStyle w:val="2"/>
        <w:spacing w:line="360" w:lineRule="auto"/>
        <w:rPr>
          <w:b w:val="0"/>
          <w:bCs w:val="0"/>
          <w:color w:val="000000"/>
          <w:sz w:val="42"/>
          <w:szCs w:val="42"/>
        </w:rPr>
      </w:pPr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4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napToGrid w:val="0"/>
      <w:spacing w:before="0" w:after="0" w:line="408" w:lineRule="auto"/>
      <w:outlineLvl w:val="0"/>
    </w:pPr>
    <w:rPr>
      <w:rFonts w:ascii="minorHAnsi" w:eastAsia="minorEastAsia" w:cs="Droid Sans Fallback" w:hAnsi="minorHAnsi"/>
      <w:b/>
      <w:bCs/>
      <w:color w:val="1A1A1A"/>
      <w:kern w:val="2"/>
      <w:sz w:val="36"/>
      <w:szCs w:val="36"/>
    </w:rPr>
  </w:style>
  <w:style w:type="paragraph" w:styleId="2">
    <w:name w:val="heading 2"/>
    <w:basedOn w:val="0"/>
    <w:next w:val="0"/>
    <w:pPr>
      <w:keepNext/>
      <w:keepLines/>
      <w:widowControl w:val="0"/>
      <w:snapToGrid w:val="0"/>
      <w:spacing w:before="0" w:after="0" w:line="408" w:lineRule="auto"/>
      <w:outlineLvl w:val="1"/>
    </w:pPr>
    <w:rPr>
      <w:rFonts w:ascii="minorHAnsi" w:eastAsia="minorEastAsia" w:cs="Droid Sans Fallback" w:hAnsi="minorHAnsi"/>
      <w:b/>
      <w:bCs/>
      <w:color w:val="1A1A1A"/>
      <w:kern w:val="2"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10">
    <w:name w:val="Default Paragraph Font"/>
  </w:style>
  <w:style w:type="character" w:styleId="15">
    <w:name w:val="Hyperlink"/>
    <w:basedOn w:val="10"/>
    <w:rPr>
      <w:rFonts w:ascii="minorHAnsi" w:eastAsia="minorEastAsia" w:cs="Droid Sans Fallback" w:hAnsi="minorHAnsi"/>
      <w:color w:val="1E6FFF"/>
      <w:kern w:val="2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22</Words>
  <Characters>22</Characters>
  <Lines>2</Lines>
  <Paragraphs>1</Paragraphs>
  <CharactersWithSpaces>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2026-05-18T16:10:52Z</dcterms:created>
  <dcterms:modified xsi:type="dcterms:W3CDTF">2026-05-18T08:17:43Z</dcterms:modified>
</cp:coreProperties>
</file>